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072"/>
        <w:gridCol w:w="995"/>
        <w:gridCol w:w="1214"/>
        <w:gridCol w:w="1268"/>
        <w:gridCol w:w="28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28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四川省开拓文化发展有限公司</w:t>
            </w:r>
            <w:bookmarkEnd w:id="4"/>
          </w:p>
        </w:tc>
        <w:tc>
          <w:tcPr>
            <w:tcW w:w="126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7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Q：29.08.09;29.12.00;33.02.02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E：29.08.09;29.12.00;33.02.02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7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张浩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Q:33.02.02</w:t>
            </w:r>
          </w:p>
          <w:p>
            <w:pPr>
              <w:snapToGrid w:val="0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E:33.02.02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培训地点</w:t>
            </w:r>
          </w:p>
        </w:tc>
        <w:tc>
          <w:tcPr>
            <w:tcW w:w="28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7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李林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07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Q:29.08.09,29.12.00</w:t>
            </w:r>
          </w:p>
          <w:p>
            <w:pPr>
              <w:snapToGrid w:val="0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E:29.08.09,29.12.00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产品销售服务流程：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 xml:space="preserve">   流程：</w:t>
            </w:r>
            <w:r>
              <w:rPr>
                <w:rFonts w:hint="eastAsia"/>
                <w:sz w:val="21"/>
                <w:szCs w:val="21"/>
                <w:highlight w:val="none"/>
              </w:rPr>
              <w:t>联系客户—业务洽谈—合同签订—准备产品—检验—客户签收—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售后</w:t>
            </w:r>
            <w:r>
              <w:rPr>
                <w:rFonts w:hint="eastAsia"/>
                <w:sz w:val="21"/>
                <w:szCs w:val="21"/>
                <w:highlight w:val="none"/>
              </w:rPr>
              <w:t>服务</w:t>
            </w:r>
          </w:p>
          <w:p>
            <w:pPr>
              <w:pStyle w:val="2"/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系统集成流程：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前期准备工作—项目推进管理—项目合同推进—物料采购—工程实施—工程结项—售后服务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关键过程：销售过程，销售作业指导书；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特殊过程：隐蔽工程，隐蔽工程作业指导书。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重要环境因素：潜在火灾、固体废弃物排放等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软件工程 产品质量 第1部分:质量模型GB/T 16260.1-2006；软件工程 产品质量 第2部分:外部度量GB/T 16260.2-2006；软件工程 产品质量 第3部分:内部度量GB/T 16260.3-2006；软件工程 产品质量 第4部分:使用质量的度量GB/T 16260.4-2006；软件配置管理GJB 5880-2006；计算机软件测试文档编制规范GB/T 9386-2008；企业信息化系统集成实施指南GB/T 26327-2010；企业控制系统集成 第1部分:模型和术语IEC 62264-1-2013；</w:t>
            </w:r>
            <w:r>
              <w:rPr>
                <w:rFonts w:hint="eastAsia" w:ascii="宋体" w:hAnsi="宋体"/>
                <w:sz w:val="21"/>
                <w:szCs w:val="21"/>
              </w:rPr>
              <w:t>合同法；产品质量法等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2019.12.19</w:t>
      </w:r>
      <w:r>
        <w:rPr>
          <w:rFonts w:hint="eastAsia" w:ascii="宋体"/>
          <w:b/>
          <w:sz w:val="22"/>
          <w:szCs w:val="22"/>
        </w:rPr>
        <w:t xml:space="preserve">         审核组长： 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2019.12.19</w:t>
      </w:r>
    </w:p>
    <w:p>
      <w:pPr>
        <w:snapToGrid w:val="0"/>
        <w:rPr>
          <w:rFonts w:hint="eastAsia" w:ascii="宋体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18"/>
          <w:szCs w:val="18"/>
          <w:lang w:val="en-US" w:eastAsia="zh-CN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6B39C7"/>
    <w:rsid w:val="05A20231"/>
    <w:rsid w:val="0B7427D8"/>
    <w:rsid w:val="0D827F7F"/>
    <w:rsid w:val="156A37F2"/>
    <w:rsid w:val="1B442DC8"/>
    <w:rsid w:val="1C235A20"/>
    <w:rsid w:val="209D2DEF"/>
    <w:rsid w:val="22E77FA8"/>
    <w:rsid w:val="26F73EE7"/>
    <w:rsid w:val="2A2577DD"/>
    <w:rsid w:val="2AA7075C"/>
    <w:rsid w:val="2F6845B7"/>
    <w:rsid w:val="33FF6DC7"/>
    <w:rsid w:val="41C308DE"/>
    <w:rsid w:val="48B72856"/>
    <w:rsid w:val="4BBF20D3"/>
    <w:rsid w:val="4EBE4A68"/>
    <w:rsid w:val="58206E9F"/>
    <w:rsid w:val="59B97E7A"/>
    <w:rsid w:val="5A0D66B0"/>
    <w:rsid w:val="5CD334F1"/>
    <w:rsid w:val="5F8152E0"/>
    <w:rsid w:val="621A3645"/>
    <w:rsid w:val="632E6583"/>
    <w:rsid w:val="6393335F"/>
    <w:rsid w:val="71F663B3"/>
    <w:rsid w:val="71FD0082"/>
    <w:rsid w:val="730C549D"/>
    <w:rsid w:val="769F1748"/>
    <w:rsid w:val="7A535C4C"/>
    <w:rsid w:val="7BBB0EE1"/>
    <w:rsid w:val="7C8371BF"/>
    <w:rsid w:val="7E3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2019-12-19T06:38:29Z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