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</w:t>
      </w:r>
      <w:r>
        <w:t xml:space="preserve"> </w:t>
      </w:r>
      <w:r>
        <w:rPr>
          <w:b/>
          <w:color w:val="000000" w:themeColor="text1"/>
          <w:sz w:val="21"/>
          <w:szCs w:val="21"/>
        </w:rPr>
        <w:t>0674-2019-Q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北京市鹏达铁合金加工厂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 w:val="0"/>
          <w:bCs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</w:rPr>
        <w:t>Beijing Pengda ferroalloy processing factory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北京市顺义区仁和地区沙井村东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101300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(英文)：East of Shajing village, Ninna district, Beijing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北京市顺义区南法信东海洪商业街13-4号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101300</w:t>
      </w:r>
      <w:bookmarkEnd w:id="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 w:val="0"/>
          <w:bCs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(英文)：No. 13-4, Haihong Commercial Street, South Faxin, Shunyi District, Beijing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91110113723592732N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13911190639</w:t>
      </w:r>
      <w:bookmarkEnd w:id="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姜启广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周琳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1" w:name="企业人数"/>
      <w:r>
        <w:rPr>
          <w:b/>
          <w:color w:val="000000" w:themeColor="text1"/>
          <w:sz w:val="22"/>
          <w:szCs w:val="22"/>
        </w:rPr>
        <w:t>5</w:t>
      </w:r>
      <w:bookmarkEnd w:id="11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>
      <w:pPr>
        <w:pStyle w:val="2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范围：铁合金制品（熔炼除外）的销售</w:t>
      </w:r>
      <w:bookmarkEnd w:id="14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英文：Sales of ferroalloy products (excluding smelting)</w:t>
      </w:r>
      <w:bookmarkStart w:id="15" w:name="_GoBack"/>
      <w:bookmarkEnd w:id="15"/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                  组长确认：</w:t>
      </w: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                                     日期：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3073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6075"/>
    <w:rsid w:val="00316075"/>
    <w:rsid w:val="00400370"/>
    <w:rsid w:val="007673E0"/>
    <w:rsid w:val="2A455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408</Characters>
  <Lines>3</Lines>
  <Paragraphs>1</Paragraphs>
  <TotalTime>133</TotalTime>
  <ScaleCrop>false</ScaleCrop>
  <LinksUpToDate>false</LinksUpToDate>
  <CharactersWithSpaces>478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卩丬My别样红叶er</cp:lastModifiedBy>
  <cp:lastPrinted>2019-05-13T03:13:00Z</cp:lastPrinted>
  <dcterms:modified xsi:type="dcterms:W3CDTF">2019-12-29T05:37:49Z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