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0854-2022-Q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伯纳德（天津）仪表有限公司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伯纳德（天津）仪表有限公司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天津自贸试验区(中心商务区)滨海华贸中心-740(天津叁本账商务秘书有限公司托管第116号)</w:t>
            </w:r>
            <w:bookmarkEnd w:id="6"/>
          </w:p>
        </w:tc>
        <w:tc>
          <w:tcPr>
            <w:tcW w:w="1242" w:type="dxa"/>
            <w:vMerge w:val="restart"/>
            <w:vAlign w:val="center"/>
          </w:tcPr>
          <w:p>
            <w:r>
              <w:rPr>
                <w:rFonts w:hint="eastAsia"/>
              </w:rPr>
              <w:t>邮编</w:t>
            </w:r>
          </w:p>
        </w:tc>
        <w:tc>
          <w:tcPr>
            <w:tcW w:w="1771" w:type="dxa"/>
          </w:tcPr>
          <w:p>
            <w:bookmarkStart w:id="7" w:name="注册邮编"/>
            <w:r>
              <w:t>300450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天津市南开区南马路与城厢西路交口东北侧平祥大厦8号楼1门3106</w:t>
            </w:r>
            <w:bookmarkEnd w:id="8"/>
          </w:p>
        </w:tc>
        <w:tc>
          <w:tcPr>
            <w:tcW w:w="1242" w:type="dxa"/>
            <w:vMerge w:val="continue"/>
            <w:vAlign w:val="center"/>
          </w:tcPr>
          <w:p/>
        </w:tc>
        <w:tc>
          <w:tcPr>
            <w:tcW w:w="1771" w:type="dxa"/>
          </w:tcPr>
          <w:p>
            <w:bookmarkStart w:id="9" w:name="办公邮编"/>
            <w:r>
              <w:t>300101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李佶</w:t>
            </w:r>
            <w:bookmarkEnd w:id="10"/>
          </w:p>
        </w:tc>
        <w:tc>
          <w:tcPr>
            <w:tcW w:w="1313" w:type="dxa"/>
            <w:vAlign w:val="center"/>
          </w:tcPr>
          <w:p>
            <w:r>
              <w:rPr>
                <w:rFonts w:hint="eastAsia"/>
              </w:rPr>
              <w:t>电话.</w:t>
            </w:r>
          </w:p>
        </w:tc>
        <w:tc>
          <w:tcPr>
            <w:tcW w:w="2180" w:type="dxa"/>
            <w:vAlign w:val="center"/>
          </w:tcPr>
          <w:p>
            <w:bookmarkStart w:id="11" w:name="联系人电话"/>
            <w:r>
              <w:t>18522544888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王慧荣</w:t>
            </w:r>
            <w:bookmarkEnd w:id="13"/>
          </w:p>
        </w:tc>
        <w:tc>
          <w:tcPr>
            <w:tcW w:w="1313" w:type="dxa"/>
            <w:vAlign w:val="center"/>
          </w:tcPr>
          <w:p>
            <w:r>
              <w:rPr>
                <w:rFonts w:hint="eastAsia"/>
              </w:rPr>
              <w:t>管理者代表</w:t>
            </w:r>
          </w:p>
        </w:tc>
        <w:tc>
          <w:tcPr>
            <w:tcW w:w="2180" w:type="dxa"/>
          </w:tcPr>
          <w:p>
            <w:bookmarkStart w:id="14" w:name="管理者代表"/>
            <w:r>
              <w:t>王慧荣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color w:val="000000"/>
                <w:lang w:val="zh-CN"/>
              </w:rPr>
            </w:pPr>
            <w:r>
              <w:rPr>
                <w:rFonts w:hint="eastAsia" w:ascii="Times New Roman" w:hAnsi="Times New Roman" w:eastAsia="宋体" w:cs="Times New Roman"/>
                <w:color w:val="000000"/>
                <w:lang w:val="zh-CN"/>
              </w:rPr>
              <w:t>顾客需求-</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lang w:val="zh-CN"/>
              </w:rPr>
              <w:t>合同评审-</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lang w:val="zh-CN"/>
              </w:rPr>
              <w:t>签订合同-产品采购-</w:t>
            </w:r>
            <w:r>
              <w:rPr>
                <w:rFonts w:hint="eastAsia" w:ascii="Times New Roman" w:hAnsi="Times New Roman" w:eastAsia="宋体" w:cs="Times New Roman"/>
                <w:color w:val="000000"/>
                <w:lang w:val="en-US" w:eastAsia="zh-CN"/>
              </w:rPr>
              <w:t>供方发货</w:t>
            </w:r>
            <w:r>
              <w:rPr>
                <w:rFonts w:hint="eastAsia" w:ascii="Times New Roman" w:hAnsi="Times New Roman" w:eastAsia="宋体" w:cs="Times New Roman"/>
                <w:color w:val="000000"/>
                <w:lang w:val="zh-CN"/>
              </w:rPr>
              <w:t>-</w:t>
            </w:r>
            <w:r>
              <w:rPr>
                <w:rFonts w:hint="eastAsia" w:ascii="Times New Roman" w:hAnsi="Times New Roman" w:eastAsia="宋体" w:cs="Times New Roman"/>
                <w:color w:val="000000"/>
                <w:lang w:val="en-US" w:eastAsia="zh-CN"/>
              </w:rPr>
              <w:t>客户验收</w:t>
            </w:r>
            <w:r>
              <w:rPr>
                <w:rFonts w:hint="eastAsia" w:ascii="Times New Roman" w:hAnsi="Times New Roman" w:eastAsia="宋体" w:cs="Times New Roman"/>
                <w:color w:val="000000"/>
                <w:lang w:val="zh-CN"/>
              </w:rPr>
              <w:t>-售后服务</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2022年07月05日 上午至2022年07月05日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电动执行器、电动阀门的销售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6"/>
        <w:gridCol w:w="2030"/>
        <w:gridCol w:w="490"/>
        <w:gridCol w:w="2800"/>
        <w:gridCol w:w="13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6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3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49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80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9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66" w:type="dxa"/>
            <w:vAlign w:val="center"/>
          </w:tcPr>
          <w:p>
            <w:pPr>
              <w:rPr>
                <w:rFonts w:ascii="Times New Roman" w:hAnsi="Times New Roman" w:eastAsia="宋体" w:cs="Times New Roman"/>
                <w:kern w:val="2"/>
                <w:sz w:val="21"/>
                <w:szCs w:val="21"/>
                <w:lang w:val="de-DE" w:eastAsia="ja-JP" w:bidi="ar-SA"/>
              </w:rPr>
            </w:pPr>
            <w:r>
              <w:rPr>
                <w:sz w:val="21"/>
                <w:szCs w:val="21"/>
              </w:rPr>
              <w:t>伯纳德（天津）仪表有限公司</w:t>
            </w:r>
          </w:p>
        </w:tc>
        <w:tc>
          <w:tcPr>
            <w:tcW w:w="2030" w:type="dxa"/>
          </w:tcPr>
          <w:p>
            <w:pPr>
              <w:spacing w:before="40" w:after="40"/>
              <w:rPr>
                <w:rFonts w:eastAsia="黑体"/>
                <w:szCs w:val="21"/>
                <w:lang w:val="de-DE" w:eastAsia="ja-JP"/>
              </w:rPr>
            </w:pPr>
            <w:r>
              <w:rPr>
                <w:sz w:val="21"/>
                <w:szCs w:val="21"/>
              </w:rPr>
              <w:t>天津市南开区南马路与城厢西路交口东北侧平祥大厦8号楼1门3106</w:t>
            </w:r>
          </w:p>
        </w:tc>
        <w:tc>
          <w:tcPr>
            <w:tcW w:w="490"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0" w:type="dxa"/>
            <w:vAlign w:val="center"/>
          </w:tcPr>
          <w:p>
            <w:pPr>
              <w:pStyle w:val="20"/>
              <w:rPr>
                <w:rFonts w:eastAsia="黑体" w:cs="Arial"/>
                <w:sz w:val="21"/>
                <w:szCs w:val="21"/>
                <w:lang w:val="en-US" w:eastAsia="ja-JP"/>
              </w:rPr>
            </w:pPr>
            <w:r>
              <w:t>电动执行器、电动阀门的销售</w:t>
            </w:r>
          </w:p>
        </w:tc>
        <w:tc>
          <w:tcPr>
            <w:tcW w:w="1391" w:type="dxa"/>
            <w:vAlign w:val="center"/>
          </w:tcPr>
          <w:p>
            <w:pPr>
              <w:spacing w:before="40" w:after="40"/>
              <w:rPr>
                <w:rFonts w:eastAsia="黑体"/>
                <w:szCs w:val="21"/>
                <w:lang w:eastAsia="ja-JP"/>
              </w:rPr>
            </w:pPr>
            <w:r>
              <w:rPr>
                <w:rFonts w:hint="eastAsia" w:eastAsia="黑体"/>
                <w:szCs w:val="21"/>
                <w:lang w:eastAsia="ja-JP"/>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66" w:type="dxa"/>
            <w:vAlign w:val="center"/>
          </w:tcPr>
          <w:p>
            <w:pPr>
              <w:rPr>
                <w:rFonts w:ascii="Times New Roman" w:hAnsi="Times New Roman" w:eastAsia="宋体" w:cs="Times New Roman"/>
                <w:kern w:val="2"/>
                <w:sz w:val="21"/>
                <w:szCs w:val="21"/>
                <w:lang w:val="en-US" w:eastAsia="ja-JP" w:bidi="ar-SA"/>
              </w:rPr>
            </w:pPr>
            <w:r>
              <w:rPr>
                <w:sz w:val="21"/>
                <w:szCs w:val="21"/>
              </w:rPr>
              <w:t>天津自贸试验区(中心商务区)滨海华贸中心-740(天津叁本账商务秘书有限公司托管第116号)</w:t>
            </w:r>
          </w:p>
        </w:tc>
        <w:tc>
          <w:tcPr>
            <w:tcW w:w="203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39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66" w:type="dxa"/>
            <w:vAlign w:val="center"/>
          </w:tcPr>
          <w:p>
            <w:pPr>
              <w:spacing w:before="40" w:after="40"/>
              <w:rPr>
                <w:rFonts w:eastAsia="黑体"/>
                <w:szCs w:val="21"/>
                <w:lang w:eastAsia="ja-JP"/>
              </w:rPr>
            </w:pPr>
          </w:p>
        </w:tc>
        <w:tc>
          <w:tcPr>
            <w:tcW w:w="203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39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66" w:type="dxa"/>
            <w:vAlign w:val="center"/>
          </w:tcPr>
          <w:p>
            <w:pPr>
              <w:spacing w:before="40" w:after="40"/>
              <w:rPr>
                <w:rFonts w:eastAsia="黑体"/>
                <w:szCs w:val="21"/>
                <w:lang w:eastAsia="ja-JP"/>
              </w:rPr>
            </w:pPr>
          </w:p>
        </w:tc>
        <w:tc>
          <w:tcPr>
            <w:tcW w:w="203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39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66" w:type="dxa"/>
            <w:vAlign w:val="center"/>
          </w:tcPr>
          <w:p>
            <w:pPr>
              <w:spacing w:before="40" w:after="40"/>
              <w:rPr>
                <w:rFonts w:eastAsia="黑体"/>
                <w:szCs w:val="21"/>
                <w:lang w:eastAsia="ja-JP"/>
              </w:rPr>
            </w:pPr>
          </w:p>
        </w:tc>
        <w:tc>
          <w:tcPr>
            <w:tcW w:w="2030" w:type="dxa"/>
            <w:vAlign w:val="center"/>
          </w:tcPr>
          <w:p>
            <w:pPr>
              <w:spacing w:before="40" w:after="40"/>
              <w:rPr>
                <w:rFonts w:eastAsia="黑体"/>
                <w:szCs w:val="21"/>
                <w:lang w:eastAsia="ja-JP"/>
              </w:rPr>
            </w:pPr>
          </w:p>
        </w:tc>
        <w:tc>
          <w:tcPr>
            <w:tcW w:w="490" w:type="dxa"/>
            <w:vAlign w:val="center"/>
          </w:tcPr>
          <w:p>
            <w:pPr>
              <w:spacing w:before="40" w:after="40"/>
              <w:rPr>
                <w:rFonts w:eastAsia="黑体"/>
                <w:szCs w:val="21"/>
                <w:lang w:eastAsia="ja-JP"/>
              </w:rPr>
            </w:pPr>
          </w:p>
        </w:tc>
        <w:tc>
          <w:tcPr>
            <w:tcW w:w="2800" w:type="dxa"/>
            <w:vAlign w:val="center"/>
          </w:tcPr>
          <w:p>
            <w:pPr>
              <w:spacing w:before="40" w:after="40"/>
              <w:rPr>
                <w:rFonts w:eastAsia="黑体"/>
                <w:szCs w:val="21"/>
                <w:lang w:eastAsia="ja-JP"/>
              </w:rPr>
            </w:pPr>
          </w:p>
        </w:tc>
        <w:tc>
          <w:tcPr>
            <w:tcW w:w="139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范雯</w:t>
            </w:r>
          </w:p>
        </w:tc>
        <w:tc>
          <w:tcPr>
            <w:tcW w:w="1089" w:type="dxa"/>
            <w:vAlign w:val="center"/>
          </w:tcPr>
          <w:p>
            <w:pPr>
              <w:rPr>
                <w:rFonts w:hint="default" w:eastAsia="宋体"/>
                <w:lang w:val="en-US" w:eastAsia="zh-CN"/>
              </w:rPr>
            </w:pPr>
            <w:r>
              <w:t>组员</w:t>
            </w:r>
            <w:r>
              <w:rPr>
                <w:rFonts w:hint="eastAsia"/>
                <w:lang w:eastAsia="zh-CN"/>
              </w:rPr>
              <w:t>（</w:t>
            </w:r>
            <w:r>
              <w:rPr>
                <w:rFonts w:hint="eastAsia"/>
                <w:lang w:val="en-US" w:eastAsia="zh-CN"/>
              </w:rPr>
              <w:t>实习）</w:t>
            </w:r>
          </w:p>
        </w:tc>
        <w:tc>
          <w:tcPr>
            <w:tcW w:w="711" w:type="dxa"/>
            <w:vAlign w:val="center"/>
          </w:tcPr>
          <w:p>
            <w:r>
              <w:t>女</w:t>
            </w:r>
          </w:p>
        </w:tc>
        <w:tc>
          <w:tcPr>
            <w:tcW w:w="3870" w:type="dxa"/>
            <w:vAlign w:val="center"/>
          </w:tcPr>
          <w:p>
            <w:r>
              <w:t>2021-N0QMS-1283054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2022.7.6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原材料采购</w:t>
            </w:r>
            <w:r>
              <w:rPr>
                <w:rFonts w:hint="eastAsia"/>
                <w:lang w:val="en-US" w:eastAsia="zh-CN"/>
              </w:rPr>
              <w:t xml:space="preserve"> </w:t>
            </w:r>
            <w:r>
              <w:rPr>
                <w:rFonts w:hint="eastAsia"/>
              </w:rPr>
              <w:t xml:space="preserve"> </w:t>
            </w:r>
            <w:r>
              <w:rPr>
                <w:rFonts w:hint="eastAsia"/>
              </w:rPr>
              <w:sym w:font="Wingdings 2" w:char="0052"/>
            </w:r>
            <w:r>
              <w:rPr>
                <w:rFonts w:hint="eastAsia"/>
              </w:rPr>
              <w:t xml:space="preserve">外部供方控制 </w:t>
            </w:r>
            <w:r>
              <w:rPr>
                <w:rFonts w:hint="eastAsia"/>
                <w:lang w:val="en-US" w:eastAsia="zh-CN"/>
              </w:rPr>
              <w:t xml:space="preserve">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widowControl/>
              <w:spacing w:before="40"/>
              <w:jc w:val="left"/>
              <w:rPr>
                <w:rFonts w:hint="eastAsia"/>
                <w:color w:val="000000"/>
                <w:szCs w:val="18"/>
                <w:u w:val="single"/>
              </w:rPr>
            </w:pPr>
            <w:r>
              <w:rPr>
                <w:rFonts w:hint="eastAsia"/>
              </w:rPr>
              <w:t>最高管理者制定了文件化的管理体系方针：</w:t>
            </w:r>
            <w:r>
              <w:rPr>
                <w:rFonts w:hint="eastAsia"/>
                <w:u w:val="single"/>
              </w:rPr>
              <w:t xml:space="preserve">  </w:t>
            </w:r>
            <w:r>
              <w:rPr>
                <w:rFonts w:hint="eastAsia"/>
                <w:color w:val="000000"/>
                <w:szCs w:val="18"/>
                <w:u w:val="single"/>
              </w:rPr>
              <w:t>顾客为先，质量至上；遵纪守法，追求卓越！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rPr>
                <w:rFonts w:hint="eastAsia"/>
              </w:rPr>
            </w:pPr>
          </w:p>
          <w:p>
            <w:pPr>
              <w:shd w:val="clear" w:color="auto" w:fill="C7DAF1" w:themeFill="text2" w:themeFillTint="32"/>
              <w:rPr>
                <w:rFonts w:hint="eastAsia"/>
              </w:rPr>
            </w:pPr>
          </w:p>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1.对市场需要产品的发展趋势判断失误；</w:t>
                  </w:r>
                </w:p>
                <w:p>
                  <w:pPr>
                    <w:shd w:val="clear" w:color="auto" w:fill="C7DAF1" w:themeFill="text2" w:themeFillTint="32"/>
                    <w:rPr>
                      <w:rFonts w:hint="eastAsia"/>
                    </w:rPr>
                  </w:pPr>
                  <w:r>
                    <w:rPr>
                      <w:rFonts w:hint="eastAsia"/>
                    </w:rPr>
                    <w:t>2.客户要求识别不完整；</w:t>
                  </w:r>
                </w:p>
                <w:p>
                  <w:pPr>
                    <w:shd w:val="clear" w:color="auto" w:fill="C7DAF1" w:themeFill="text2" w:themeFillTint="32"/>
                  </w:pPr>
                  <w:r>
                    <w:rPr>
                      <w:rFonts w:hint="eastAsia"/>
                    </w:rPr>
                    <w:t>未能确保能够满足客户要求就签署合同。</w:t>
                  </w:r>
                </w:p>
              </w:tc>
              <w:tc>
                <w:tcPr>
                  <w:tcW w:w="3965" w:type="dxa"/>
                </w:tcPr>
                <w:p>
                  <w:pPr>
                    <w:widowControl/>
                    <w:numPr>
                      <w:ilvl w:val="0"/>
                      <w:numId w:val="2"/>
                    </w:numPr>
                    <w:jc w:val="both"/>
                    <w:rPr>
                      <w:rFonts w:cs="PMingLiU" w:asciiTheme="minorEastAsia" w:hAnsiTheme="minorEastAsia" w:eastAsiaTheme="minorEastAsia"/>
                      <w:kern w:val="0"/>
                      <w:sz w:val="18"/>
                      <w:szCs w:val="18"/>
                      <w:lang w:eastAsia="zh-CN"/>
                    </w:rPr>
                  </w:pPr>
                  <w:r>
                    <w:rPr>
                      <w:rFonts w:hint="eastAsia" w:cs="PMingLiU" w:asciiTheme="minorEastAsia" w:hAnsiTheme="minorEastAsia" w:eastAsiaTheme="minorEastAsia"/>
                      <w:kern w:val="0"/>
                      <w:sz w:val="18"/>
                      <w:szCs w:val="18"/>
                      <w:lang w:eastAsia="zh-CN"/>
                    </w:rPr>
                    <w:t>对市场需求产品的发展趋势分析应经过反复论证；</w:t>
                  </w:r>
                </w:p>
                <w:p>
                  <w:pPr>
                    <w:widowControl/>
                    <w:numPr>
                      <w:ilvl w:val="0"/>
                      <w:numId w:val="2"/>
                    </w:numPr>
                    <w:jc w:val="both"/>
                    <w:rPr>
                      <w:rFonts w:cs="PMingLiU" w:asciiTheme="minorEastAsia" w:hAnsiTheme="minorEastAsia" w:eastAsiaTheme="minorEastAsia"/>
                      <w:kern w:val="0"/>
                      <w:sz w:val="18"/>
                      <w:szCs w:val="18"/>
                      <w:lang w:eastAsia="zh-CN"/>
                    </w:rPr>
                  </w:pPr>
                  <w:r>
                    <w:rPr>
                      <w:rFonts w:hint="eastAsia" w:cs="PMingLiU" w:asciiTheme="minorEastAsia" w:hAnsiTheme="minorEastAsia" w:eastAsiaTheme="minorEastAsia"/>
                      <w:kern w:val="0"/>
                      <w:sz w:val="18"/>
                      <w:szCs w:val="18"/>
                      <w:lang w:eastAsia="zh-CN"/>
                    </w:rPr>
                    <w:t>对客户的需求适时监视和测量；</w:t>
                  </w:r>
                </w:p>
                <w:p>
                  <w:pPr>
                    <w:shd w:val="clear" w:color="auto" w:fill="C7DAF1" w:themeFill="text2" w:themeFillTint="32"/>
                  </w:pPr>
                  <w:r>
                    <w:rPr>
                      <w:rFonts w:hint="eastAsia" w:cs="PMingLiU" w:asciiTheme="minorEastAsia" w:hAnsiTheme="minorEastAsia" w:eastAsiaTheme="minorEastAsia"/>
                      <w:kern w:val="0"/>
                      <w:sz w:val="18"/>
                      <w:szCs w:val="18"/>
                      <w:lang w:eastAsia="zh-CN"/>
                    </w:rPr>
                    <w:t>在确定与客户签署合同前落实合同评审适宜。</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rPr>
                      <w:rFonts w:hint="eastAsia"/>
                    </w:rPr>
                  </w:pPr>
                </w:p>
                <w:p>
                  <w:pPr>
                    <w:shd w:val="clear" w:color="auto" w:fill="C7DAF1" w:themeFill="text2" w:themeFillTint="32"/>
                    <w:jc w:val="left"/>
                    <w:rPr>
                      <w:rFonts w:hint="eastAsia"/>
                    </w:rPr>
                  </w:pPr>
                  <w:r>
                    <w:rPr>
                      <w:rFonts w:hint="eastAsia"/>
                    </w:rPr>
                    <w:t>交货（产品、服务</w:t>
                  </w:r>
                  <w:r>
                    <w:rPr>
                      <w:rFonts w:hint="eastAsia"/>
                      <w:lang w:eastAsia="zh-CN"/>
                    </w:rPr>
                    <w:t>）</w:t>
                  </w:r>
                  <w:r>
                    <w:rPr>
                      <w:rFonts w:hint="eastAsia"/>
                    </w:rPr>
                    <w:t>合格率≥99%</w:t>
                  </w:r>
                </w:p>
                <w:p>
                  <w:pPr>
                    <w:pStyle w:val="2"/>
                    <w:rPr>
                      <w:rFonts w:hint="default"/>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color w:val="000000"/>
                      <w:szCs w:val="18"/>
                      <w:lang w:val="en-US" w:eastAsia="zh-CN"/>
                    </w:rPr>
                    <w:t>交货产品</w:t>
                  </w:r>
                  <w:r>
                    <w:rPr>
                      <w:rFonts w:hint="eastAsia"/>
                      <w:color w:val="000000"/>
                      <w:szCs w:val="18"/>
                    </w:rPr>
                    <w:t>数量/总产品数量*100%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 xml:space="preserve">  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autoSpaceDE w:val="0"/>
                    <w:autoSpaceDN w:val="0"/>
                    <w:adjustRightInd w:val="0"/>
                    <w:jc w:val="left"/>
                    <w:rPr>
                      <w:rFonts w:hint="eastAsia"/>
                    </w:rPr>
                  </w:pPr>
                </w:p>
                <w:p>
                  <w:pPr>
                    <w:shd w:val="clear" w:color="auto" w:fill="C7DAF1" w:themeFill="text2" w:themeFillTint="32"/>
                    <w:autoSpaceDE w:val="0"/>
                    <w:autoSpaceDN w:val="0"/>
                    <w:adjustRightInd w:val="0"/>
                    <w:jc w:val="left"/>
                    <w:rPr>
                      <w:rFonts w:hint="eastAsia"/>
                    </w:rPr>
                  </w:pPr>
                  <w:r>
                    <w:rPr>
                      <w:rFonts w:hint="eastAsia"/>
                    </w:rPr>
                    <w:t>交货及时率≥98%</w:t>
                  </w:r>
                </w:p>
                <w:p>
                  <w:pPr>
                    <w:shd w:val="clear" w:color="auto" w:fill="C7DAF1" w:themeFill="text2" w:themeFillTint="32"/>
                    <w:autoSpaceDE w:val="0"/>
                    <w:autoSpaceDN w:val="0"/>
                    <w:adjustRightInd w:val="0"/>
                    <w:jc w:val="left"/>
                    <w:rPr>
                      <w:rFonts w:hint="default" w:eastAsia="宋体"/>
                      <w:lang w:val="en-US" w:eastAsia="zh-CN"/>
                    </w:rPr>
                  </w:pPr>
                </w:p>
              </w:tc>
              <w:tc>
                <w:tcPr>
                  <w:tcW w:w="3136" w:type="dxa"/>
                  <w:shd w:val="clear" w:color="auto" w:fill="auto"/>
                  <w:vAlign w:val="top"/>
                </w:tcPr>
                <w:p>
                  <w:pPr>
                    <w:widowControl/>
                    <w:spacing w:before="40"/>
                    <w:jc w:val="left"/>
                    <w:rPr>
                      <w:rFonts w:hint="default" w:ascii="宋体" w:hAnsi="宋体" w:eastAsia="宋体" w:cs="宋体"/>
                      <w:kern w:val="0"/>
                      <w:sz w:val="21"/>
                      <w:szCs w:val="21"/>
                      <w:lang w:val="en-US" w:eastAsia="zh-CN" w:bidi="ar"/>
                    </w:rPr>
                  </w:pPr>
                  <w:r>
                    <w:rPr>
                      <w:rFonts w:hint="eastAsia" w:ascii="Times New Roman" w:hAnsi="Times New Roman" w:eastAsia="宋体" w:cs="Times New Roman"/>
                      <w:color w:val="000000"/>
                      <w:szCs w:val="18"/>
                      <w:lang w:val="en-US" w:eastAsia="zh-CN"/>
                    </w:rPr>
                    <w:t>实际交货日期/合同约定交货日期*100%</w:t>
                  </w:r>
                </w:p>
              </w:tc>
              <w:tc>
                <w:tcPr>
                  <w:tcW w:w="1350" w:type="dxa"/>
                  <w:shd w:val="clear" w:color="auto" w:fill="auto"/>
                  <w:vAlign w:val="center"/>
                </w:tcPr>
                <w:p>
                  <w:pPr>
                    <w:shd w:val="clear" w:color="auto" w:fill="C7DAF1" w:themeFill="text2" w:themeFillTint="32"/>
                    <w:ind w:firstLine="210" w:firstLineChars="100"/>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p>
                <w:p>
                  <w:pPr>
                    <w:shd w:val="clear" w:color="auto" w:fill="C7DAF1" w:themeFill="text2" w:themeFillTint="32"/>
                  </w:pPr>
                  <w:r>
                    <w:rPr>
                      <w:rFonts w:hint="eastAsia"/>
                    </w:rPr>
                    <w:t>顾客满意度≥96%</w:t>
                  </w:r>
                </w:p>
              </w:tc>
              <w:tc>
                <w:tcPr>
                  <w:tcW w:w="3136" w:type="dxa"/>
                  <w:shd w:val="clear" w:color="auto" w:fill="auto"/>
                  <w:vAlign w:val="top"/>
                </w:tcPr>
                <w:p>
                  <w:pPr>
                    <w:widowControl/>
                    <w:spacing w:before="40"/>
                    <w:jc w:val="left"/>
                    <w:rPr>
                      <w:rFonts w:hint="eastAsia"/>
                    </w:rPr>
                  </w:pPr>
                  <w:r>
                    <w:rPr>
                      <w:rFonts w:hint="eastAsia"/>
                    </w:rPr>
                    <w:t>满意度测试分数/测试总分数*100%</w:t>
                  </w:r>
                </w:p>
                <w:p>
                  <w:pPr>
                    <w:pStyle w:val="2"/>
                    <w:rPr>
                      <w:rFonts w:hint="eastAsia"/>
                      <w:lang w:val="en-US" w:eastAsia="zh-CN"/>
                    </w:rPr>
                  </w:pPr>
                </w:p>
              </w:tc>
              <w:tc>
                <w:tcPr>
                  <w:tcW w:w="1350" w:type="dxa"/>
                  <w:shd w:val="clear" w:color="auto" w:fill="auto"/>
                  <w:vAlign w:val="center"/>
                </w:tcPr>
                <w:p>
                  <w:pPr>
                    <w:shd w:val="clear" w:color="auto" w:fill="C7DAF1" w:themeFill="text2" w:themeFillTint="32"/>
                    <w:ind w:firstLine="210" w:firstLineChars="100"/>
                    <w:rPr>
                      <w:rFonts w:hint="default" w:ascii="宋体" w:hAnsi="宋体" w:eastAsia="宋体"/>
                      <w:lang w:val="en-US" w:eastAsia="zh-CN"/>
                    </w:rPr>
                  </w:pPr>
                  <w:r>
                    <w:rPr>
                      <w:rFonts w:hint="eastAsia" w:ascii="宋体" w:hAnsi="宋体" w:eastAsia="宋体"/>
                      <w:lang w:val="en-US" w:eastAsia="zh-CN"/>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eastAsia="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w:t>
            </w:r>
            <w:r>
              <w:rPr>
                <w:rFonts w:hint="eastAsia"/>
              </w:rPr>
              <w:sym w:font="Wingdings 2" w:char="00A3"/>
            </w:r>
            <w:r>
              <w:rPr>
                <w:rFonts w:hint="eastAsia"/>
              </w:rPr>
              <w:t xml:space="preserve">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约100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电脑、打印机、电话等</w:t>
            </w:r>
            <w:r>
              <w:rPr>
                <w:rFonts w:hint="eastAsia"/>
                <w:u w:val="single"/>
              </w:rPr>
              <w:t>（列举2~4种）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lang w:val="en-US" w:eastAsia="zh-CN"/>
              </w:rPr>
              <w:t xml:space="preserve"> </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w:t>
            </w:r>
            <w:r>
              <w:rPr>
                <w:rFonts w:hint="eastAsia"/>
                <w:lang w:val="en-US" w:eastAsia="zh-CN"/>
              </w:rPr>
              <w:t xml:space="preserve"> </w:t>
            </w:r>
            <w:r>
              <w:rPr>
                <w:rFonts w:hint="eastAsia"/>
              </w:rPr>
              <w:t xml:space="preserve">■生产经验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外部知识:</w:t>
            </w:r>
            <w:r>
              <w:rPr>
                <w:rFonts w:hint="eastAsia"/>
                <w:lang w:val="en-US" w:eastAsia="zh-CN"/>
              </w:rPr>
              <w:t xml:space="preserve"> </w:t>
            </w:r>
            <w:r>
              <w:rPr>
                <w:rFonts w:hint="eastAsia"/>
              </w:rPr>
              <w:t xml:space="preserve">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w:t>
            </w:r>
            <w:r>
              <w:rPr>
                <w:rFonts w:hint="eastAsia"/>
                <w:lang w:val="en-US" w:eastAsia="zh-CN"/>
              </w:rPr>
              <w:t xml:space="preserve"> </w:t>
            </w:r>
            <w:r>
              <w:rPr>
                <w:rFonts w:hint="eastAsia"/>
              </w:rPr>
              <w:t xml:space="preserve"> 作业文件  检测计划   </w:t>
            </w:r>
            <w:r>
              <w:rPr>
                <w:rFonts w:hint="eastAsia" w:ascii="Wingdings" w:hAnsi="Wingdings"/>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lang w:val="en-US" w:eastAsia="zh-CN"/>
              </w:rPr>
              <w:t xml:space="preserve"> </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rPr>
                    <w:t>电动执行器、电动阀门的销售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销售能力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p>
              </w:tc>
              <w:tc>
                <w:tcPr>
                  <w:tcW w:w="3665" w:type="dxa"/>
                  <w:vAlign w:val="top"/>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p>
              </w:tc>
              <w:tc>
                <w:tcPr>
                  <w:tcW w:w="3665" w:type="dxa"/>
                  <w:vAlign w:val="top"/>
                </w:tcPr>
                <w:p>
                  <w:pPr>
                    <w:shd w:val="clear" w:color="auto" w:fill="C7DAF1" w:themeFill="text2" w:themeFillTint="32"/>
                    <w:jc w:val="left"/>
                    <w:rPr>
                      <w:rFonts w:hint="eastAsia"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lang w:val="en-US" w:eastAsia="zh-CN"/>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hint="eastAsia"/>
              </w:rPr>
            </w:pPr>
            <w:r>
              <w:rPr>
                <w:rFonts w:hint="eastAsia"/>
              </w:rPr>
              <w:t>组织考虑分析和评价的结果以及管理评审的输出，确定了存在需求或机遇，这些需求或机遇作为持续改进的一部分加以应对。</w:t>
            </w:r>
          </w:p>
          <w:p>
            <w:pPr>
              <w:pStyle w:val="2"/>
            </w:pPr>
          </w:p>
        </w:tc>
      </w:tr>
    </w:tbl>
    <w:tbl>
      <w:tblPr>
        <w:tblStyle w:val="7"/>
        <w:tblW w:w="1033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55"/>
        <w:gridCol w:w="657"/>
        <w:gridCol w:w="657"/>
        <w:gridCol w:w="656"/>
        <w:gridCol w:w="657"/>
        <w:gridCol w:w="657"/>
        <w:gridCol w:w="656"/>
        <w:gridCol w:w="657"/>
        <w:gridCol w:w="657"/>
        <w:gridCol w:w="656"/>
        <w:gridCol w:w="657"/>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566"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66"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566" w:type="dxa"/>
            <w:tcBorders>
              <w:bottom w:val="single" w:color="auto" w:sz="4" w:space="0"/>
            </w:tcBorders>
            <w:vAlign w:val="center"/>
          </w:tcPr>
          <w:p>
            <w:pPr>
              <w:shd w:val="clear" w:color="auto" w:fill="C7DAF1" w:themeFill="text2"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5" w:hRule="atLeast"/>
        </w:trPr>
        <w:tc>
          <w:tcPr>
            <w:tcW w:w="2542"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566"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A1B84D3"/>
    <w:multiLevelType w:val="singleLevel"/>
    <w:tmpl w:val="5A1B84D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E2F5830"/>
    <w:rsid w:val="11DF131B"/>
    <w:rsid w:val="14942891"/>
    <w:rsid w:val="19A1335A"/>
    <w:rsid w:val="1F1D16D5"/>
    <w:rsid w:val="21EB1616"/>
    <w:rsid w:val="23B720F8"/>
    <w:rsid w:val="34E96C65"/>
    <w:rsid w:val="411C0175"/>
    <w:rsid w:val="45140D01"/>
    <w:rsid w:val="4568104C"/>
    <w:rsid w:val="4FDF614C"/>
    <w:rsid w:val="52B65132"/>
    <w:rsid w:val="60EF15B2"/>
    <w:rsid w:val="62455CE7"/>
    <w:rsid w:val="6FA2461D"/>
    <w:rsid w:val="71972F19"/>
    <w:rsid w:val="79BE0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2022-07-05T06:16:51Z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