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918"/>
        <w:gridCol w:w="860"/>
        <w:gridCol w:w="755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成都长宏途腾家具有限公司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O:23.01.01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张永娟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O:23.01.01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余家龙</w:t>
            </w: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宋明珠</w:t>
            </w:r>
          </w:p>
        </w:tc>
        <w:tc>
          <w:tcPr>
            <w:tcW w:w="7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陈伟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配料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组装（部分试装，在客户处组装）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风险：生产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过程通过拟定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产品生产规范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和环境安全管理制度对过程和质量进行控制，存在的风险有造成质量、安全和环境污染事故。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需确认/关键过程：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无。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控制措施：通过加强设备控制，拟定作业指导书，并对操作工培训进行控制。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木质家具制造业职业病危害预防控制规范DB31/T 677-2012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木质家具制造业大气污染物排放标准DB11/ 1202-2015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木家具中有害物质限量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GB 18584-2001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木家具通用技术条件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GB/T 3324-2017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办公家具检验项目：材质、样式尺寸、装配及表面质量、包装质量等。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480695</wp:posOffset>
                  </wp:positionH>
                  <wp:positionV relativeFrom="paragraph">
                    <wp:posOffset>-33655</wp:posOffset>
                  </wp:positionV>
                  <wp:extent cx="413385" cy="761365"/>
                  <wp:effectExtent l="0" t="0" r="635" b="5715"/>
                  <wp:wrapNone/>
                  <wp:docPr id="20" name="图片 20" descr="WPS图片-抠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WPS图片-抠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40752" t="25208" r="33090" b="4263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13385" cy="761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2022年6月28日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168910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2022年6月28日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888"/>
        <w:gridCol w:w="880"/>
        <w:gridCol w:w="765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成都长宏途腾家具有限公司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O:23.01.01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张永娟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O:23.01.01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余家龙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宋明珠</w:t>
            </w:r>
          </w:p>
        </w:tc>
        <w:tc>
          <w:tcPr>
            <w:tcW w:w="765" w:type="dxa"/>
            <w:vAlign w:val="center"/>
          </w:tcPr>
          <w:p>
            <w:pPr>
              <w:snapToGrid w:val="0"/>
              <w:spacing w:line="280" w:lineRule="exact"/>
              <w:jc w:val="center"/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陈伟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配料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组装（部分试装，在客户处组装）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重要环境因素：固体废弃物、噪声排放、潜</w:t>
            </w:r>
            <w:bookmarkStart w:id="3" w:name="_GoBack"/>
            <w:bookmarkEnd w:id="3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在火灾。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控制措施：通过制定管理方案和应急预案进行控制。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木质家具制造业职业病危害预防控制规范DB31/T 677-2012、木质家具制造业大气污染物排放标准DB11/ 1202-2015、木家具中有害物质限量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GB 18584-2001、木家具通用技术条件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GB/T 3324-2017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480695</wp:posOffset>
                  </wp:positionH>
                  <wp:positionV relativeFrom="paragraph">
                    <wp:posOffset>-33655</wp:posOffset>
                  </wp:positionV>
                  <wp:extent cx="413385" cy="761365"/>
                  <wp:effectExtent l="0" t="0" r="635" b="5715"/>
                  <wp:wrapNone/>
                  <wp:docPr id="4" name="图片 4" descr="WPS图片-抠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WPS图片-抠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40752" t="25208" r="33090" b="4263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13385" cy="761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2022年6月28日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168910</wp:posOffset>
                  </wp:positionV>
                  <wp:extent cx="812165" cy="275590"/>
                  <wp:effectExtent l="0" t="0" r="635" b="3810"/>
                  <wp:wrapNone/>
                  <wp:docPr id="5" name="图片 5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2022年6月28日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888"/>
        <w:gridCol w:w="900"/>
        <w:gridCol w:w="745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成都长宏途腾家具有限公司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O:23.01.01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张永娟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O:23.01.01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余家龙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宋明珠</w:t>
            </w:r>
          </w:p>
        </w:tc>
        <w:tc>
          <w:tcPr>
            <w:tcW w:w="745" w:type="dxa"/>
            <w:vAlign w:val="center"/>
          </w:tcPr>
          <w:p>
            <w:pPr>
              <w:snapToGrid w:val="0"/>
              <w:spacing w:line="280" w:lineRule="exact"/>
              <w:jc w:val="center"/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陈伟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配料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组装（部分试装，在客户处组装）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不可接受风险：触电、火灾、机械伤害。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控制措施：通过制定管理方案和应急预案进行控制。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木质家具制造业职业病危害预防控制规范DB31/T 677-2012、木质家具制造业大气污染物排放标准DB11/ 1202-2015、木家具中有害物质限量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GB 18584-2001、木家具通用技术条件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GB/T 3324-2017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480695</wp:posOffset>
                  </wp:positionH>
                  <wp:positionV relativeFrom="paragraph">
                    <wp:posOffset>-33655</wp:posOffset>
                  </wp:positionV>
                  <wp:extent cx="413385" cy="761365"/>
                  <wp:effectExtent l="0" t="0" r="635" b="5715"/>
                  <wp:wrapNone/>
                  <wp:docPr id="8" name="图片 8" descr="WPS图片-抠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WPS图片-抠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40752" t="25208" r="33090" b="4263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13385" cy="761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2022年6月28日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168910</wp:posOffset>
                  </wp:positionV>
                  <wp:extent cx="812165" cy="275590"/>
                  <wp:effectExtent l="0" t="0" r="635" b="3810"/>
                  <wp:wrapNone/>
                  <wp:docPr id="9" name="图片 9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2022年6月28日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EAA7A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1</TotalTime>
  <ScaleCrop>false</ScaleCrop>
  <LinksUpToDate>false</LinksUpToDate>
  <CharactersWithSpaces>744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2022-06-28T04:04:08Z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