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成都坤恒顺维科技股份有限公司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29.12.00,34.05.00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2018-N1EMS-2031946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成都坤恒顺维科技股份有限公司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成都高新区新文路22号6栋1层4号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成都高新区新文路22号融智总部公园3楼、2楼</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成都高新区新文路22号融智总部公园3楼、2楼</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谭向兵</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18108194368</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张吉林</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谭向兵</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2019年12月23日 下午至2019年12月23日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val="en-US"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bookmarkStart w:id="27" w:name="审核范围"/>
            <w:r>
              <w:rPr>
                <w:rFonts w:hint="eastAsia" w:ascii="宋体" w:hAnsi="宋体"/>
                <w:sz w:val="21"/>
                <w:szCs w:val="21"/>
              </w:rPr>
              <w:t>无线电测试设备、无线电仿真设备及无线信号处理设备的设计、销售所涉及的相关环境管理活动</w:t>
            </w:r>
            <w:bookmarkEnd w:id="27"/>
            <w:r>
              <w:rPr>
                <w:rFonts w:hint="eastAsia" w:ascii="宋体" w:hAnsi="宋体"/>
                <w:sz w:val="21"/>
                <w:szCs w:val="21"/>
              </w:rPr>
              <w:t xml:space="preserve"> </w:t>
            </w:r>
            <w:r>
              <w:rPr>
                <w:rFonts w:hint="eastAsia" w:ascii="宋体" w:hAnsi="宋体"/>
                <w:sz w:val="21"/>
                <w:szCs w:val="21"/>
                <w:lang w:eastAsia="zh-CN"/>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29.12.00;34.05.00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2021.12.20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2019.12.15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2018 </w:t>
      </w:r>
      <w:r>
        <w:rPr>
          <w:rFonts w:hint="eastAsia" w:ascii="宋体" w:hAnsi="宋体"/>
          <w:b/>
          <w:sz w:val="21"/>
          <w:szCs w:val="21"/>
          <w:highlight w:val="none"/>
        </w:rPr>
        <w:t>年</w:t>
      </w:r>
      <w:r>
        <w:rPr>
          <w:rFonts w:hint="eastAsia" w:ascii="宋体" w:hAnsi="宋体"/>
          <w:b/>
          <w:sz w:val="21"/>
          <w:szCs w:val="21"/>
          <w:highlight w:val="none"/>
          <w:lang w:val="en-US" w:eastAsia="zh-CN"/>
        </w:rPr>
        <w:t>12</w:t>
      </w:r>
      <w:r>
        <w:rPr>
          <w:rFonts w:hint="eastAsia" w:ascii="宋体" w:hAnsi="宋体"/>
          <w:b/>
          <w:sz w:val="21"/>
          <w:szCs w:val="21"/>
          <w:highlight w:val="none"/>
        </w:rPr>
        <w:t>月</w:t>
      </w:r>
      <w:r>
        <w:rPr>
          <w:rFonts w:hint="eastAsia" w:ascii="宋体" w:hAnsi="宋体"/>
          <w:b/>
          <w:sz w:val="21"/>
          <w:szCs w:val="21"/>
          <w:highlight w:val="none"/>
          <w:lang w:val="en-US" w:eastAsia="zh-CN"/>
        </w:rPr>
        <w:t>15</w:t>
      </w:r>
      <w:r>
        <w:rPr>
          <w:rFonts w:hint="eastAsia" w:ascii="宋体" w:hAnsi="宋体"/>
          <w:b/>
          <w:sz w:val="21"/>
          <w:szCs w:val="21"/>
          <w:highlight w:val="none"/>
        </w:rPr>
        <w:t>日至</w:t>
      </w:r>
      <w:r>
        <w:rPr>
          <w:rFonts w:hint="eastAsia" w:ascii="宋体" w:hAnsi="宋体"/>
          <w:b/>
          <w:sz w:val="21"/>
          <w:szCs w:val="21"/>
          <w:highlight w:val="none"/>
          <w:lang w:val="en-US" w:eastAsia="zh-CN"/>
        </w:rPr>
        <w:t>2019</w:t>
      </w:r>
      <w:r>
        <w:rPr>
          <w:rFonts w:hint="eastAsia" w:ascii="宋体" w:hAnsi="宋体"/>
          <w:b/>
          <w:sz w:val="21"/>
          <w:szCs w:val="21"/>
          <w:highlight w:val="none"/>
        </w:rPr>
        <w:t>年</w:t>
      </w:r>
      <w:r>
        <w:rPr>
          <w:rFonts w:hint="eastAsia" w:ascii="宋体" w:hAnsi="宋体"/>
          <w:b/>
          <w:sz w:val="21"/>
          <w:szCs w:val="21"/>
          <w:highlight w:val="none"/>
          <w:lang w:val="en-US" w:eastAsia="zh-CN"/>
        </w:rPr>
        <w:t>12</w:t>
      </w:r>
      <w:r>
        <w:rPr>
          <w:rFonts w:hint="eastAsia" w:ascii="宋体" w:hAnsi="宋体"/>
          <w:b/>
          <w:sz w:val="21"/>
          <w:szCs w:val="21"/>
          <w:highlight w:val="none"/>
        </w:rPr>
        <w:t>月</w:t>
      </w:r>
      <w:r>
        <w:rPr>
          <w:rFonts w:hint="eastAsia" w:ascii="宋体" w:hAnsi="宋体"/>
          <w:b/>
          <w:sz w:val="21"/>
          <w:szCs w:val="21"/>
          <w:highlight w:val="none"/>
          <w:lang w:val="en-US" w:eastAsia="zh-CN"/>
        </w:rPr>
        <w:t>23</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eastAsia="宋体"/>
                <w:b/>
                <w:sz w:val="21"/>
                <w:szCs w:val="21"/>
                <w:lang w:eastAsia="zh-CN"/>
              </w:rPr>
            </w:pPr>
            <w:r>
              <w:rPr>
                <w:rFonts w:hint="eastAsia" w:ascii="宋体" w:hAnsi="宋体"/>
                <w:sz w:val="21"/>
                <w:szCs w:val="21"/>
              </w:rPr>
              <w:t>成都坤恒顺维科技股份有限公司是注册于成都高新区的高新技术企业，公司主要业务为无线电实物仿真、无线电测试、无线信号处理产品的研发、生产和销售，以及上述领域的技术开发服务</w:t>
            </w:r>
            <w:r>
              <w:rPr>
                <w:rFonts w:hint="eastAsia" w:ascii="宋体" w:hAnsi="宋体"/>
                <w:sz w:val="21"/>
                <w:szCs w:val="21"/>
                <w:lang w:eastAsia="zh-CN"/>
              </w:rPr>
              <w:t>。</w:t>
            </w:r>
            <w:r>
              <w:rPr>
                <w:rFonts w:hint="eastAsia" w:ascii="宋体" w:hAnsi="宋体"/>
                <w:sz w:val="21"/>
                <w:szCs w:val="21"/>
              </w:rPr>
              <w:t>现</w:t>
            </w:r>
            <w:r>
              <w:rPr>
                <w:rFonts w:hint="eastAsia" w:ascii="宋体" w:hAnsi="宋体"/>
                <w:sz w:val="21"/>
                <w:szCs w:val="21"/>
                <w:highlight w:val="none"/>
              </w:rPr>
              <w:t>有员工数</w:t>
            </w:r>
            <w:r>
              <w:rPr>
                <w:rFonts w:hint="eastAsia" w:ascii="宋体" w:hAnsi="宋体"/>
                <w:sz w:val="21"/>
                <w:szCs w:val="21"/>
                <w:highlight w:val="none"/>
                <w:lang w:val="en-US" w:eastAsia="zh-CN"/>
              </w:rPr>
              <w:t>15</w:t>
            </w:r>
            <w:r>
              <w:rPr>
                <w:rFonts w:hint="eastAsia" w:ascii="宋体" w:hAnsi="宋体"/>
                <w:sz w:val="21"/>
                <w:szCs w:val="21"/>
                <w:highlight w:val="none"/>
              </w:rPr>
              <w:t>人，</w:t>
            </w:r>
            <w:r>
              <w:rPr>
                <w:rFonts w:hint="eastAsia" w:ascii="宋体" w:hAnsi="宋体"/>
                <w:sz w:val="21"/>
                <w:szCs w:val="21"/>
              </w:rPr>
              <w:t>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00" w:lineRule="exact"/>
              <w:ind w:firstLine="420" w:firstLineChars="200"/>
              <w:rPr>
                <w:rFonts w:hint="eastAsia" w:ascii="宋体" w:hAnsi="宋体"/>
                <w:b/>
                <w:sz w:val="21"/>
                <w:szCs w:val="21"/>
              </w:rPr>
            </w:pPr>
            <w:r>
              <w:rPr>
                <w:rFonts w:hint="eastAsia" w:ascii="宋体" w:hAnsi="宋体" w:cs="宋体"/>
                <w:color w:val="000000"/>
                <w:sz w:val="21"/>
                <w:szCs w:val="21"/>
              </w:rPr>
              <w:t>组织的</w:t>
            </w:r>
            <w:r>
              <w:rPr>
                <w:rFonts w:hint="eastAsia" w:ascii="宋体" w:hAnsi="宋体" w:cs="宋体"/>
                <w:color w:val="000000"/>
                <w:sz w:val="21"/>
                <w:szCs w:val="21"/>
                <w:lang w:eastAsia="zh-CN"/>
              </w:rPr>
              <w:t>环境</w:t>
            </w:r>
            <w:r>
              <w:rPr>
                <w:rFonts w:hint="eastAsia" w:ascii="宋体" w:hAnsi="宋体" w:cs="宋体"/>
                <w:color w:val="000000"/>
                <w:sz w:val="21"/>
                <w:szCs w:val="21"/>
                <w:lang w:val="en-US" w:eastAsia="zh-CN"/>
              </w:rPr>
              <w:t>管理</w:t>
            </w:r>
            <w:r>
              <w:rPr>
                <w:rFonts w:hint="eastAsia" w:ascii="宋体" w:hAnsi="宋体" w:cs="宋体"/>
                <w:color w:val="000000"/>
                <w:sz w:val="21"/>
                <w:szCs w:val="21"/>
              </w:rPr>
              <w:t>方针为：</w:t>
            </w:r>
            <w:r>
              <w:rPr>
                <w:rFonts w:hint="eastAsia" w:ascii="宋体" w:hAnsi="宋体"/>
                <w:color w:val="000000"/>
                <w:sz w:val="21"/>
                <w:szCs w:val="21"/>
              </w:rPr>
              <w:t>“遵守法律法规</w:t>
            </w:r>
            <w:r>
              <w:rPr>
                <w:rFonts w:hint="eastAsia" w:ascii="宋体" w:hAnsi="宋体"/>
                <w:color w:val="000000"/>
                <w:sz w:val="21"/>
                <w:szCs w:val="21"/>
                <w:lang w:eastAsia="zh-CN"/>
              </w:rPr>
              <w:t>、</w:t>
            </w:r>
            <w:r>
              <w:rPr>
                <w:rFonts w:hint="eastAsia" w:ascii="宋体" w:hAnsi="宋体"/>
                <w:color w:val="000000"/>
                <w:sz w:val="21"/>
                <w:szCs w:val="21"/>
              </w:rPr>
              <w:t>制造绿色产品</w:t>
            </w:r>
            <w:r>
              <w:rPr>
                <w:rFonts w:hint="eastAsia" w:ascii="宋体" w:hAnsi="宋体"/>
                <w:color w:val="000000"/>
                <w:sz w:val="21"/>
                <w:szCs w:val="21"/>
                <w:lang w:eastAsia="zh-CN"/>
              </w:rPr>
              <w:t>、</w:t>
            </w:r>
            <w:r>
              <w:rPr>
                <w:rFonts w:hint="eastAsia" w:ascii="宋体" w:hAnsi="宋体"/>
                <w:color w:val="000000"/>
                <w:sz w:val="21"/>
                <w:szCs w:val="21"/>
              </w:rPr>
              <w:t>节能降耗降废</w:t>
            </w:r>
            <w:r>
              <w:rPr>
                <w:rFonts w:hint="eastAsia" w:ascii="宋体" w:hAnsi="宋体"/>
                <w:color w:val="000000"/>
                <w:sz w:val="21"/>
                <w:szCs w:val="21"/>
                <w:lang w:eastAsia="zh-CN"/>
              </w:rPr>
              <w:t>、</w:t>
            </w:r>
            <w:r>
              <w:rPr>
                <w:rFonts w:hint="eastAsia" w:ascii="宋体" w:hAnsi="宋体"/>
                <w:color w:val="000000"/>
                <w:sz w:val="21"/>
                <w:szCs w:val="21"/>
              </w:rPr>
              <w:t>清洁安全服务</w:t>
            </w:r>
            <w:r>
              <w:rPr>
                <w:rFonts w:hint="eastAsia" w:ascii="宋体" w:hAnsi="宋体"/>
                <w:color w:val="000000"/>
                <w:sz w:val="21"/>
                <w:szCs w:val="21"/>
                <w:lang w:eastAsia="zh-CN"/>
              </w:rPr>
              <w:t>、</w:t>
            </w:r>
            <w:r>
              <w:rPr>
                <w:rFonts w:hint="eastAsia" w:ascii="宋体" w:hAnsi="宋体"/>
                <w:color w:val="000000"/>
                <w:sz w:val="21"/>
                <w:szCs w:val="21"/>
              </w:rPr>
              <w:t>管理持续改进</w:t>
            </w:r>
            <w:r>
              <w:rPr>
                <w:rFonts w:hint="eastAsia" w:ascii="宋体" w:hAnsi="宋体"/>
                <w:color w:val="000000"/>
                <w:sz w:val="21"/>
                <w:szCs w:val="21"/>
                <w:lang w:eastAsia="zh-CN"/>
              </w:rPr>
              <w:t>、</w:t>
            </w:r>
            <w:r>
              <w:rPr>
                <w:rFonts w:hint="eastAsia" w:ascii="宋体" w:hAnsi="宋体"/>
                <w:color w:val="000000"/>
                <w:sz w:val="21"/>
                <w:szCs w:val="21"/>
              </w:rPr>
              <w:t xml:space="preserve"> 建设美好家园”。</w:t>
            </w: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eastAsia="zh-CN"/>
              </w:rPr>
              <w:t>环境</w:t>
            </w:r>
            <w:r>
              <w:rPr>
                <w:rFonts w:hint="eastAsia" w:ascii="宋体" w:hAnsi="宋体" w:cs="宋体"/>
                <w:color w:val="000000"/>
                <w:sz w:val="21"/>
                <w:szCs w:val="21"/>
              </w:rPr>
              <w:t>方针在</w:t>
            </w:r>
            <w:r>
              <w:rPr>
                <w:rFonts w:hint="eastAsia" w:ascii="宋体" w:hAnsi="宋体" w:cs="宋体"/>
                <w:color w:val="000000"/>
                <w:sz w:val="21"/>
                <w:szCs w:val="21"/>
                <w:lang w:eastAsia="zh-CN"/>
              </w:rPr>
              <w:t>环境</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w:t>
            </w:r>
          </w:p>
          <w:p>
            <w:pPr>
              <w:spacing w:line="240" w:lineRule="exact"/>
              <w:rPr>
                <w:rFonts w:hint="default"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w:t>
            </w:r>
            <w:r>
              <w:rPr>
                <w:rFonts w:hint="eastAsia" w:ascii="宋体" w:hAnsi="宋体" w:cs="宋体"/>
                <w:color w:val="000000"/>
                <w:kern w:val="0"/>
                <w:sz w:val="21"/>
                <w:szCs w:val="21"/>
                <w:lang w:eastAsia="zh-CN"/>
              </w:rPr>
              <w:t>环境</w:t>
            </w:r>
            <w:r>
              <w:rPr>
                <w:rFonts w:hint="eastAsia" w:ascii="宋体" w:hAnsi="宋体" w:cs="宋体"/>
                <w:color w:val="000000"/>
                <w:kern w:val="0"/>
                <w:sz w:val="21"/>
                <w:szCs w:val="21"/>
              </w:rPr>
              <w:t>目标并分解到相关职能部门和层次，规定了目标值、计算方法、责任部门、检查人、考核频次等。同时，</w:t>
            </w:r>
            <w:r>
              <w:rPr>
                <w:rFonts w:hint="eastAsia" w:ascii="宋体" w:hAnsi="宋体" w:cs="宋体"/>
                <w:color w:val="000000"/>
                <w:kern w:val="0"/>
                <w:sz w:val="21"/>
                <w:szCs w:val="21"/>
                <w:lang w:eastAsia="zh-CN"/>
              </w:rPr>
              <w:t>环境</w:t>
            </w:r>
            <w:r>
              <w:rPr>
                <w:rFonts w:hint="eastAsia" w:ascii="宋体" w:hAnsi="宋体" w:cs="宋体"/>
                <w:color w:val="000000"/>
                <w:kern w:val="0"/>
                <w:sz w:val="21"/>
                <w:szCs w:val="21"/>
              </w:rPr>
              <w:t>目标得到沟通和监视评价，通过数据的汇总统计、描述性统计等方法对目标进行了测量，总体已达到规定的目标值</w:t>
            </w:r>
            <w:r>
              <w:rPr>
                <w:rFonts w:hint="eastAsia" w:ascii="宋体" w:hAnsi="宋体" w:cs="宋体"/>
                <w:color w:val="000000"/>
                <w:kern w:val="0"/>
                <w:sz w:val="21"/>
                <w:szCs w:val="21"/>
                <w:lang w:eastAsia="zh-CN"/>
              </w:rPr>
              <w:t>。</w:t>
            </w:r>
          </w:p>
          <w:p>
            <w:pPr>
              <w:rPr>
                <w:rFonts w:hint="eastAsia"/>
                <w:sz w:val="21"/>
                <w:szCs w:val="21"/>
              </w:rPr>
            </w:pPr>
            <w:r>
              <w:rPr>
                <w:rFonts w:hint="eastAsia"/>
                <w:sz w:val="21"/>
                <w:szCs w:val="21"/>
                <w:lang w:eastAsia="zh-CN"/>
              </w:rPr>
              <w:t>环境</w:t>
            </w:r>
            <w:r>
              <w:rPr>
                <w:rFonts w:hint="eastAsia"/>
                <w:sz w:val="21"/>
                <w:szCs w:val="21"/>
              </w:rPr>
              <w:t>目标：</w:t>
            </w:r>
            <w:r>
              <w:rPr>
                <w:rFonts w:hint="eastAsia" w:ascii="Times New Roman" w:hAnsi="Times New Roman" w:cs="Times New Roman"/>
                <w:sz w:val="21"/>
                <w:szCs w:val="21"/>
                <w:lang w:eastAsia="zh-CN"/>
              </w:rPr>
              <w:t>（考核时间</w:t>
            </w:r>
            <w:r>
              <w:rPr>
                <w:rFonts w:hint="eastAsia" w:ascii="Times New Roman" w:hAnsi="Times New Roman" w:cs="Times New Roman"/>
                <w:sz w:val="21"/>
                <w:szCs w:val="21"/>
                <w:lang w:val="en-US" w:eastAsia="zh-CN"/>
              </w:rPr>
              <w:t>2019年1月-11月）</w:t>
            </w:r>
          </w:p>
          <w:p>
            <w:pPr>
              <w:snapToGrid w:val="0"/>
              <w:rPr>
                <w:rFonts w:hint="default"/>
                <w:b w:val="0"/>
                <w:bCs w:val="0"/>
                <w:szCs w:val="21"/>
                <w:highlight w:val="none"/>
                <w:lang w:val="en-US" w:eastAsia="zh-CN"/>
              </w:rPr>
            </w:pPr>
            <w:r>
              <w:rPr>
                <w:rFonts w:hint="eastAsia" w:ascii="宋体" w:hAnsi="宋体"/>
                <w:color w:val="000000"/>
                <w:sz w:val="21"/>
                <w:szCs w:val="21"/>
              </w:rPr>
              <w:t>1）</w:t>
            </w:r>
            <w:r>
              <w:rPr>
                <w:rFonts w:hint="eastAsia" w:ascii="宋体" w:hAnsi="宋体" w:cs="Times New Roman"/>
                <w:color w:val="000000"/>
                <w:sz w:val="21"/>
                <w:szCs w:val="21"/>
              </w:rPr>
              <w:t>固体废弃物合理处置</w:t>
            </w:r>
            <w:r>
              <w:rPr>
                <w:rFonts w:hint="eastAsia" w:ascii="宋体" w:hAnsi="宋体" w:cs="Times New Roman"/>
                <w:color w:val="000000"/>
                <w:sz w:val="21"/>
                <w:szCs w:val="21"/>
                <w:lang w:val="en-US" w:eastAsia="zh-CN"/>
              </w:rPr>
              <w:t>；          100%</w:t>
            </w:r>
          </w:p>
          <w:p>
            <w:pPr>
              <w:spacing w:line="400" w:lineRule="exact"/>
              <w:rPr>
                <w:rFonts w:hint="default" w:ascii="宋体" w:hAnsi="宋体" w:eastAsia="宋体"/>
                <w:color w:val="000000"/>
                <w:sz w:val="21"/>
                <w:szCs w:val="21"/>
                <w:lang w:val="en-US" w:eastAsia="zh-CN"/>
              </w:rPr>
            </w:pPr>
            <w:r>
              <w:rPr>
                <w:rFonts w:hint="eastAsia" w:ascii="宋体" w:hAnsi="宋体"/>
                <w:color w:val="000000"/>
                <w:sz w:val="21"/>
                <w:szCs w:val="21"/>
              </w:rPr>
              <w:t>2)火灾事故发生次数为零</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未发生火灾事故。</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w:t>
            </w:r>
            <w:r>
              <w:rPr>
                <w:rFonts w:hint="eastAsia" w:ascii="宋体" w:hAnsi="宋体" w:cs="宋体"/>
                <w:sz w:val="21"/>
                <w:szCs w:val="21"/>
                <w:lang w:eastAsia="zh-CN"/>
              </w:rPr>
              <w:t>环境</w:t>
            </w:r>
            <w:r>
              <w:rPr>
                <w:rFonts w:hint="eastAsia" w:ascii="宋体" w:hAnsi="宋体" w:eastAsia="宋体" w:cs="宋体"/>
                <w:sz w:val="21"/>
                <w:szCs w:val="21"/>
              </w:rPr>
              <w:t>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highlight w:val="none"/>
              </w:rPr>
            </w:pPr>
            <w:r>
              <w:rPr>
                <w:rFonts w:hint="eastAsia" w:ascii="宋体" w:hAnsi="宋体" w:cs="宋体"/>
                <w:sz w:val="21"/>
                <w:szCs w:val="21"/>
                <w:highlight w:val="none"/>
                <w:lang w:val="en-US" w:eastAsia="zh-CN"/>
              </w:rPr>
              <w:t>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15</w:t>
            </w:r>
            <w:r>
              <w:rPr>
                <w:rFonts w:hint="eastAsia" w:ascii="宋体" w:hAnsi="宋体" w:cs="宋体"/>
                <w:sz w:val="21"/>
                <w:szCs w:val="21"/>
                <w:highlight w:val="none"/>
              </w:rPr>
              <w:t>0平方左右</w:t>
            </w:r>
            <w:r>
              <w:rPr>
                <w:rFonts w:hint="eastAsia" w:ascii="宋体" w:hAnsi="宋体" w:cs="宋体"/>
                <w:sz w:val="21"/>
                <w:szCs w:val="21"/>
                <w:highlight w:val="none"/>
                <w:lang w:eastAsia="zh-CN"/>
              </w:rPr>
              <w:t>，产品研发、</w:t>
            </w:r>
            <w:bookmarkStart w:id="30" w:name="_GoBack"/>
            <w:bookmarkEnd w:id="30"/>
            <w:r>
              <w:rPr>
                <w:rFonts w:hint="eastAsia" w:ascii="宋体" w:hAnsi="宋体" w:cs="宋体"/>
                <w:sz w:val="21"/>
                <w:szCs w:val="21"/>
                <w:highlight w:val="none"/>
                <w:lang w:eastAsia="zh-CN"/>
              </w:rPr>
              <w:t>调试</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850</w:t>
            </w:r>
            <w:r>
              <w:rPr>
                <w:rFonts w:hint="eastAsia" w:ascii="宋体" w:hAnsi="宋体" w:cs="宋体"/>
                <w:sz w:val="21"/>
                <w:szCs w:val="21"/>
                <w:highlight w:val="none"/>
              </w:rPr>
              <w:t>平方左右</w:t>
            </w:r>
            <w:r>
              <w:rPr>
                <w:rFonts w:hint="eastAsia" w:ascii="宋体" w:hAnsi="宋体" w:cs="宋体"/>
                <w:sz w:val="21"/>
                <w:szCs w:val="21"/>
                <w:highlight w:val="none"/>
              </w:rPr>
              <w:t>。主要生产设备包括</w:t>
            </w:r>
            <w:r>
              <w:rPr>
                <w:rFonts w:hint="eastAsia" w:ascii="宋体" w:hAnsi="宋体" w:cs="宋体"/>
                <w:color w:val="000000"/>
                <w:sz w:val="21"/>
                <w:szCs w:val="21"/>
                <w:highlight w:val="none"/>
              </w:rPr>
              <w:t>：</w:t>
            </w:r>
            <w:r>
              <w:rPr>
                <w:rFonts w:hint="eastAsia" w:ascii="宋体" w:hAnsi="宋体" w:cs="宋体"/>
                <w:sz w:val="21"/>
                <w:szCs w:val="21"/>
                <w:highlight w:val="none"/>
              </w:rPr>
              <w:t>办公设备、测试设备（信号源、频谱仪、矢量网络分析仪等）等</w:t>
            </w:r>
            <w:r>
              <w:rPr>
                <w:rFonts w:hint="eastAsia" w:ascii="宋体" w:hAnsi="宋体" w:cs="宋体"/>
                <w:color w:val="000000"/>
                <w:sz w:val="21"/>
                <w:szCs w:val="21"/>
                <w:highlight w:val="none"/>
              </w:rPr>
              <w:t>，</w:t>
            </w:r>
            <w:r>
              <w:rPr>
                <w:rFonts w:hint="eastAsia" w:ascii="宋体" w:hAnsi="宋体" w:cs="宋体"/>
                <w:sz w:val="21"/>
                <w:szCs w:val="21"/>
                <w:highlight w:val="none"/>
              </w:rPr>
              <w:t>可以满足无线电测试设备、无线电仿真设备及无线信号处理设备的设计、销售需要。</w:t>
            </w:r>
            <w:r>
              <w:rPr>
                <w:rFonts w:hint="eastAsia" w:ascii="宋体" w:hAnsi="宋体" w:cs="宋体"/>
                <w:sz w:val="21"/>
                <w:szCs w:val="21"/>
                <w:highlight w:val="none"/>
                <w:lang w:val="en-US" w:eastAsia="zh-CN"/>
              </w:rPr>
              <w:t>研发部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ascii="宋体" w:hAnsi="宋体"/>
                <w:sz w:val="21"/>
                <w:szCs w:val="21"/>
                <w:highlight w:val="none"/>
              </w:rPr>
              <w:t>无</w:t>
            </w:r>
            <w:r>
              <w:rPr>
                <w:rFonts w:hint="eastAsia" w:ascii="宋体" w:hAnsi="宋体" w:cs="宋体"/>
                <w:color w:val="000000"/>
                <w:sz w:val="21"/>
                <w:szCs w:val="21"/>
                <w:highlight w:val="none"/>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lang w:val="en-US" w:eastAsia="zh-CN"/>
              </w:rPr>
              <w:t>办公场所</w:t>
            </w:r>
            <w:r>
              <w:rPr>
                <w:rFonts w:hint="eastAsia" w:ascii="宋体" w:hAnsi="宋体"/>
                <w:sz w:val="21"/>
                <w:szCs w:val="21"/>
              </w:rPr>
              <w:t>设备布置合理，照明设施齐全，均配备了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等设施。目前工作环境符合</w:t>
            </w:r>
            <w:r>
              <w:rPr>
                <w:rFonts w:hint="eastAsia" w:ascii="宋体" w:hAnsi="宋体" w:cs="宋体"/>
                <w:sz w:val="21"/>
                <w:szCs w:val="21"/>
                <w:highlight w:val="none"/>
              </w:rPr>
              <w:t>无线电测试设备、无线电仿真设备及无线信号处理设备的设计、销售</w:t>
            </w:r>
            <w:r>
              <w:rPr>
                <w:rFonts w:hint="eastAsia" w:ascii="宋体" w:hAnsi="宋体" w:cs="宋体"/>
                <w:sz w:val="21"/>
                <w:szCs w:val="21"/>
                <w:highlight w:val="none"/>
                <w:lang w:eastAsia="zh-CN"/>
              </w:rPr>
              <w:t>的</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ascii="宋体" w:hAnsi="宋体" w:cs="宋体"/>
                <w:sz w:val="21"/>
                <w:szCs w:val="21"/>
                <w:lang w:eastAsia="zh-CN"/>
              </w:rPr>
              <w:t>配备有</w:t>
            </w:r>
            <w:r>
              <w:rPr>
                <w:rFonts w:hint="eastAsia" w:ascii="宋体" w:hAnsi="宋体" w:cs="宋体"/>
                <w:sz w:val="21"/>
                <w:szCs w:val="21"/>
              </w:rPr>
              <w:t>信号源、频谱仪、矢量网络分析仪等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eastAsia="zh-CN"/>
              </w:rPr>
              <w:t>环境</w:t>
            </w:r>
            <w:r>
              <w:rPr>
                <w:rFonts w:hint="eastAsia" w:ascii="宋体" w:hAnsi="宋体" w:cs="宋体"/>
                <w:color w:val="000000"/>
                <w:sz w:val="21"/>
                <w:szCs w:val="21"/>
              </w:rPr>
              <w:t>方针在</w:t>
            </w:r>
            <w:r>
              <w:rPr>
                <w:rFonts w:hint="eastAsia" w:ascii="宋体" w:hAnsi="宋体" w:cs="宋体"/>
                <w:color w:val="000000"/>
                <w:sz w:val="21"/>
                <w:szCs w:val="21"/>
                <w:lang w:eastAsia="zh-CN"/>
              </w:rPr>
              <w:t>环境</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hint="eastAsia" w:ascii="宋体" w:hAnsi="宋体" w:eastAsia="楷体_GB2312"/>
                <w:b/>
                <w:sz w:val="21"/>
                <w:szCs w:val="21"/>
                <w:lang w:val="en-US" w:eastAsia="zh-CN"/>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目标并分解到相关职能部门和层次，规定了目标值、计算方法、责任部门、检查人、考核频次等。同时，</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目标得到沟通和监视评价，通过数据的汇总统计、描述性统计等方法对目标进行了测量，总体已达到或超过了规定的目标值。通过2019年1-</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sz w:val="21"/>
                <w:szCs w:val="21"/>
                <w:highlight w:val="none"/>
              </w:rPr>
              <w:t>建立有《内部审核控制程序》，规定了内审频次一年一次，内审时间：2019年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cs="宋体"/>
                <w:color w:val="000000"/>
                <w:sz w:val="21"/>
                <w:szCs w:val="21"/>
                <w:highlight w:val="none"/>
                <w:lang w:val="en-US" w:eastAsia="zh-CN"/>
              </w:rPr>
              <w:t>涉及行政部E8.</w:t>
            </w:r>
            <w:r>
              <w:rPr>
                <w:rFonts w:hint="eastAsia" w:ascii="宋体" w:hAnsi="宋体" w:cs="宋体"/>
                <w:sz w:val="21"/>
                <w:szCs w:val="21"/>
                <w:highlight w:val="none"/>
                <w:lang w:val="en-US" w:eastAsia="zh-CN"/>
              </w:rPr>
              <w:t>1条款</w:t>
            </w:r>
            <w:r>
              <w:rPr>
                <w:rFonts w:hint="eastAsia" w:ascii="宋体" w:hAnsi="宋体" w:cs="宋体"/>
                <w:sz w:val="21"/>
                <w:szCs w:val="21"/>
                <w:highlight w:val="none"/>
              </w:rPr>
              <w:t>垃圾没有按要求分类处理，针对该不符合项，已及时采取纠正措施后，经内审员验证关闭。内审的有效性需要改善。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rPr>
              <w:t>管理评审频次为一年一</w:t>
            </w:r>
            <w:r>
              <w:rPr>
                <w:rFonts w:hint="eastAsia" w:ascii="宋体" w:hAnsi="宋体" w:cs="宋体"/>
                <w:sz w:val="21"/>
                <w:szCs w:val="21"/>
                <w:highlight w:val="none"/>
              </w:rPr>
              <w:t>次、本次管理评审于2019年</w:t>
            </w:r>
            <w:r>
              <w:rPr>
                <w:rFonts w:hint="eastAsia" w:ascii="宋体" w:hAnsi="宋体" w:cs="宋体"/>
                <w:sz w:val="21"/>
                <w:szCs w:val="21"/>
                <w:highlight w:val="non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lang w:eastAsia="zh-CN"/>
              </w:rPr>
              <w:t>（</w:t>
            </w: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7.2条款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次审核Q共开具不符合项报告1项；其中</w:t>
      </w:r>
      <w:r>
        <w:rPr>
          <w:b/>
          <w:sz w:val="26"/>
          <w:szCs w:val="26"/>
          <w:highlight w:val="none"/>
        </w:rPr>
        <w:pict>
          <v:line id="直接连接符 1" o:spid="_x0000_s1029" o:spt="20" style="position:absolute;left:0pt;margin-left:210pt;margin-top:16.2pt;height:0pt;width:0.05pt;z-index:7168;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研发</w:t>
      </w:r>
      <w:r>
        <w:rPr>
          <w:rFonts w:hint="eastAsia"/>
          <w:b/>
          <w:sz w:val="26"/>
          <w:szCs w:val="26"/>
          <w:highlight w:val="none"/>
        </w:rPr>
        <w:t>部门</w:t>
      </w:r>
      <w:r>
        <w:rPr>
          <w:rFonts w:hint="eastAsia"/>
          <w:b/>
          <w:sz w:val="26"/>
          <w:szCs w:val="26"/>
          <w:highlight w:val="none"/>
          <w:lang w:val="en-US" w:eastAsia="zh-CN"/>
        </w:rPr>
        <w:t>8.1</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720" w:firstLineChars="3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成都坤恒顺维科技股份有限公司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b/>
          <w:sz w:val="21"/>
          <w:lang w:val="en-US" w:eastAsia="zh-CN"/>
        </w:rPr>
      </w:pPr>
      <w:r>
        <w:rPr>
          <w:rFonts w:hint="eastAsia"/>
          <w:b/>
          <w:sz w:val="21"/>
        </w:rPr>
        <w:t>审核组组员（签名）：</w:t>
      </w:r>
      <w:r>
        <w:rPr>
          <w:rFonts w:hint="eastAsia"/>
          <w:b/>
          <w:sz w:val="21"/>
          <w:lang w:val="en-US" w:eastAsia="zh-CN"/>
        </w:rPr>
        <w:t xml:space="preserve">                      </w:t>
      </w:r>
    </w:p>
    <w:p>
      <w:pPr>
        <w:snapToGrid w:val="0"/>
        <w:spacing w:before="163" w:beforeLines="50" w:line="320" w:lineRule="exact"/>
        <w:ind w:firstLine="4954" w:firstLineChars="235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line="360" w:lineRule="auto"/>
        <w:ind w:left="600"/>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Cs w:val="24"/>
          <w:lang w:val="en-US" w:eastAsia="zh-CN"/>
        </w:rPr>
        <w:t xml:space="preserve"> </w:t>
      </w:r>
      <w:r>
        <w:rPr>
          <w:rFonts w:hint="eastAsia"/>
          <w:b/>
          <w:szCs w:val="24"/>
        </w:rPr>
        <w:t>日期：     年     月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     年     月     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     年     月     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4795A"/>
    <w:multiLevelType w:val="singleLevel"/>
    <w:tmpl w:val="86A4795A"/>
    <w:lvl w:ilvl="0" w:tentative="0">
      <w:start w:val="8"/>
      <w:numFmt w:val="decimal"/>
      <w:suff w:val="space"/>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FF9FF377"/>
    <w:multiLevelType w:val="singleLevel"/>
    <w:tmpl w:val="FF9FF377"/>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E63DEEC"/>
    <w:multiLevelType w:val="singleLevel"/>
    <w:tmpl w:val="2E63DEEC"/>
    <w:lvl w:ilvl="0" w:tentative="0">
      <w:start w:val="3"/>
      <w:numFmt w:val="decimal"/>
      <w:lvlText w:val="%1."/>
      <w:lvlJc w:val="left"/>
      <w:pPr>
        <w:tabs>
          <w:tab w:val="left" w:pos="312"/>
        </w:tabs>
      </w:pPr>
    </w:lvl>
  </w:abstractNum>
  <w:abstractNum w:abstractNumId="5">
    <w:nsid w:val="48D96EA0"/>
    <w:multiLevelType w:val="singleLevel"/>
    <w:tmpl w:val="48D96EA0"/>
    <w:lvl w:ilvl="0" w:tentative="0">
      <w:start w:val="2"/>
      <w:numFmt w:val="decimal"/>
      <w:suff w:val="nothing"/>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C048E6"/>
    <w:rsid w:val="0F4A1AC9"/>
    <w:rsid w:val="10B579D4"/>
    <w:rsid w:val="17DA7A98"/>
    <w:rsid w:val="1C30617F"/>
    <w:rsid w:val="1CA220DD"/>
    <w:rsid w:val="1D6A13EA"/>
    <w:rsid w:val="1E677A8F"/>
    <w:rsid w:val="1FC0477A"/>
    <w:rsid w:val="204A7174"/>
    <w:rsid w:val="23350DEB"/>
    <w:rsid w:val="27137DF4"/>
    <w:rsid w:val="323A4976"/>
    <w:rsid w:val="38F365D4"/>
    <w:rsid w:val="3D444AB0"/>
    <w:rsid w:val="3EC838B8"/>
    <w:rsid w:val="467F4C63"/>
    <w:rsid w:val="4AE14486"/>
    <w:rsid w:val="60211D84"/>
    <w:rsid w:val="670E1ADF"/>
    <w:rsid w:val="69736ECB"/>
    <w:rsid w:val="73382BFF"/>
    <w:rsid w:val="73ED5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2019-12-23T06:56:34Z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