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0846-2022-QJEO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湖北成群建设工程有限公司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2"/>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2022年07月03日 上午至2022年07月04日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8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GB/T19001-2016</w:t>
            </w:r>
            <w:r>
              <w:rPr>
                <w:rFonts w:hint="eastAsia" w:ascii="宋体" w:hAnsi="宋体"/>
                <w:b/>
                <w:color w:val="000000"/>
                <w:szCs w:val="21"/>
              </w:rPr>
              <w:t>■</w:t>
            </w:r>
            <w:r>
              <w:rPr>
                <w:rFonts w:hint="eastAsia" w:ascii="宋体" w:hAnsi="宋体"/>
                <w:b/>
                <w:color w:val="000000"/>
                <w:szCs w:val="21"/>
                <w:lang w:val="de-DE"/>
              </w:rPr>
              <w:t>GB/T 50430-2017</w:t>
            </w:r>
            <w:bookmarkStart w:id="13" w:name="E勾选Add2"/>
            <w:r>
              <w:rPr>
                <w:rFonts w:hint="eastAsia" w:ascii="宋体" w:hAnsi="宋体"/>
                <w:b/>
                <w:color w:val="000000"/>
                <w:szCs w:val="21"/>
                <w:lang w:val="de-DE"/>
              </w:rPr>
              <w:t>■</w:t>
            </w:r>
            <w:bookmarkEnd w:id="13"/>
            <w:r>
              <w:rPr>
                <w:rFonts w:hint="eastAsia" w:ascii="宋体" w:hAnsi="宋体"/>
                <w:b/>
                <w:color w:val="000000"/>
                <w:szCs w:val="21"/>
                <w:lang w:val="de-DE"/>
              </w:rPr>
              <w:t>GB/T24001-2016</w:t>
            </w:r>
          </w:p>
          <w:p>
            <w:pPr>
              <w:rPr>
                <w:rFonts w:ascii="宋体" w:hAnsi="宋体"/>
                <w:b/>
                <w:color w:val="000000"/>
                <w:szCs w:val="21"/>
                <w:lang w:val="de-DE"/>
              </w:rPr>
            </w:pPr>
            <w:bookmarkStart w:id="14" w:name="S勾选Add2"/>
            <w:r>
              <w:rPr>
                <w:rFonts w:hint="eastAsia" w:ascii="宋体" w:hAnsi="宋体"/>
                <w:b/>
                <w:color w:val="000000"/>
                <w:szCs w:val="21"/>
                <w:lang w:val="de-DE"/>
              </w:rPr>
              <w:t>■</w:t>
            </w:r>
            <w:bookmarkEnd w:id="14"/>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rPr>
              <w:t>■</w:t>
            </w:r>
            <w:r>
              <w:rPr>
                <w:rFonts w:hint="eastAsia" w:ascii="宋体"/>
                <w:b/>
                <w:color w:val="000000"/>
                <w:szCs w:val="21"/>
              </w:rPr>
              <w:t>现场审核</w:t>
            </w:r>
            <w:r>
              <w:rPr>
                <w:rFonts w:hint="eastAsia" w:ascii="宋体" w:hAnsi="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55"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rPr>
            </w:pPr>
            <w:r>
              <w:rPr>
                <w:rFonts w:hint="eastAsia"/>
              </w:rPr>
              <w:t>十堰市天津路48号欣玺来酒店附属办公楼二楼</w:t>
            </w:r>
          </w:p>
          <w:p>
            <w:pPr>
              <w:rPr>
                <w:rFonts w:hint="eastAsia"/>
                <w:color w:val="auto"/>
              </w:rPr>
            </w:pPr>
            <w:r>
              <w:rPr>
                <w:rFonts w:hint="eastAsia"/>
                <w:color w:val="auto"/>
              </w:rPr>
              <w:t>现场1：</w:t>
            </w:r>
            <w:r>
              <w:rPr>
                <w:rFonts w:hint="eastAsia"/>
                <w:color w:val="auto"/>
                <w:lang w:val="en-US" w:eastAsia="zh-CN"/>
              </w:rPr>
              <w:t>建筑总承包</w:t>
            </w:r>
          </w:p>
          <w:p>
            <w:pPr>
              <w:rPr>
                <w:rFonts w:hint="eastAsia"/>
                <w:color w:val="auto"/>
              </w:rPr>
            </w:pPr>
            <w:r>
              <w:rPr>
                <w:rFonts w:hint="eastAsia"/>
                <w:color w:val="auto"/>
              </w:rPr>
              <w:t>十堰东城经济开发区茅箭堂村陈家岗便民市场改造项目</w:t>
            </w:r>
            <w:r>
              <w:rPr>
                <w:rFonts w:hint="eastAsia"/>
                <w:color w:val="auto"/>
              </w:rPr>
              <w:tab/>
            </w:r>
          </w:p>
          <w:p>
            <w:pPr>
              <w:rPr>
                <w:rFonts w:hint="eastAsia"/>
                <w:color w:val="auto"/>
              </w:rPr>
            </w:pPr>
            <w:r>
              <w:rPr>
                <w:rFonts w:hint="eastAsia"/>
                <w:color w:val="auto"/>
              </w:rPr>
              <w:t>十堰东城经济开发区茅箭堂村陈家岗</w:t>
            </w:r>
          </w:p>
          <w:p>
            <w:pPr>
              <w:rPr>
                <w:rFonts w:hint="eastAsia"/>
                <w:color w:val="auto"/>
                <w:lang w:val="en-US" w:eastAsia="zh-CN"/>
              </w:rPr>
            </w:pPr>
            <w:r>
              <w:rPr>
                <w:rFonts w:hint="eastAsia"/>
                <w:color w:val="auto"/>
                <w:lang w:val="en-US" w:eastAsia="zh-CN"/>
              </w:rPr>
              <w:t>现场2</w:t>
            </w:r>
          </w:p>
          <w:p>
            <w:pPr>
              <w:rPr>
                <w:rFonts w:hint="eastAsia"/>
                <w:color w:val="auto"/>
              </w:rPr>
            </w:pPr>
            <w:r>
              <w:rPr>
                <w:rFonts w:hint="eastAsia"/>
                <w:color w:val="auto"/>
              </w:rPr>
              <w:t>茅塔乡台子村四组通组道路提档升级项目</w:t>
            </w:r>
            <w:r>
              <w:rPr>
                <w:rFonts w:hint="eastAsia"/>
                <w:color w:val="auto"/>
              </w:rPr>
              <w:tab/>
            </w:r>
            <w:r>
              <w:rPr>
                <w:rFonts w:hint="eastAsia"/>
                <w:color w:val="auto"/>
              </w:rPr>
              <w:t>茅塔乡台子村</w:t>
            </w:r>
          </w:p>
          <w:p>
            <w:pPr>
              <w:rPr>
                <w:rFonts w:hint="eastAsia"/>
                <w:color w:val="auto"/>
                <w:lang w:val="en-US" w:eastAsia="zh-CN"/>
              </w:rPr>
            </w:pPr>
            <w:r>
              <w:rPr>
                <w:rFonts w:hint="eastAsia"/>
                <w:color w:val="auto"/>
                <w:lang w:val="en-US" w:eastAsia="zh-CN"/>
              </w:rPr>
              <w:t>现场3</w:t>
            </w:r>
          </w:p>
          <w:p>
            <w:pPr>
              <w:rPr>
                <w:color w:val="auto"/>
                <w:szCs w:val="21"/>
                <w:u w:val="single"/>
              </w:rPr>
            </w:pPr>
            <w:r>
              <w:rPr>
                <w:rFonts w:hint="eastAsia"/>
                <w:color w:val="auto"/>
              </w:rPr>
              <w:t>茅箭区2021年市政设施维护维修项目</w:t>
            </w:r>
            <w:r>
              <w:rPr>
                <w:rFonts w:hint="eastAsia"/>
                <w:color w:val="auto"/>
              </w:rPr>
              <w:tab/>
            </w:r>
            <w:r>
              <w:rPr>
                <w:rFonts w:hint="eastAsia"/>
                <w:color w:val="auto"/>
              </w:rPr>
              <w:t>十堰市茅箭区</w:t>
            </w:r>
          </w:p>
          <w:p>
            <w:pPr>
              <w:pStyle w:val="2"/>
              <w:jc w:val="both"/>
              <w:rPr>
                <w:rFonts w:hint="eastAsia"/>
              </w:rPr>
            </w:pPr>
          </w:p>
          <w:p>
            <w:pPr>
              <w:pStyle w:val="2"/>
              <w:rPr>
                <w:rFonts w:hint="eastAsia"/>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音频</w:t>
            </w:r>
            <w:r>
              <w:rPr>
                <w:rFonts w:hint="eastAsia" w:ascii="宋体" w:hAnsi="宋体"/>
                <w:b/>
                <w:color w:val="000000"/>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rPr>
              <w:t>■</w:t>
            </w:r>
            <w:r>
              <w:rPr>
                <w:rFonts w:hint="eastAsia" w:ascii="宋体"/>
                <w:b/>
                <w:color w:val="0000FF"/>
                <w:szCs w:val="21"/>
              </w:rPr>
              <w:t>网络</w:t>
            </w:r>
            <w:r>
              <w:rPr>
                <w:rFonts w:hint="eastAsia" w:ascii="宋体" w:hAnsi="宋体"/>
                <w:b/>
                <w:color w:val="000000"/>
                <w:szCs w:val="21"/>
              </w:rPr>
              <w:t>■</w:t>
            </w:r>
            <w:r>
              <w:rPr>
                <w:rFonts w:hint="eastAsia" w:ascii="宋体"/>
                <w:b/>
                <w:color w:val="0000FF"/>
                <w:szCs w:val="21"/>
              </w:rPr>
              <w:t>智能手机□手持设备</w:t>
            </w:r>
            <w:r>
              <w:rPr>
                <w:rFonts w:hint="eastAsia" w:ascii="宋体" w:hAnsi="宋体"/>
                <w:b/>
                <w:color w:val="000000"/>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2"/>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张亮</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2021-N1OHSMS-1280463</w:t>
            </w:r>
          </w:p>
          <w:p>
            <w:pPr>
              <w:spacing w:line="240" w:lineRule="exact"/>
              <w:jc w:val="center"/>
              <w:rPr>
                <w:b/>
                <w:color w:val="000000"/>
                <w:szCs w:val="21"/>
              </w:rPr>
            </w:pPr>
            <w:r>
              <w:rPr>
                <w:b/>
                <w:color w:val="000000"/>
                <w:szCs w:val="21"/>
              </w:rPr>
              <w:t>2021-N1EMS-1280463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2021-N1OHSMS-1210533</w:t>
            </w:r>
          </w:p>
          <w:p>
            <w:pPr>
              <w:spacing w:line="240" w:lineRule="exact"/>
              <w:jc w:val="center"/>
              <w:rPr>
                <w:b/>
                <w:color w:val="000000"/>
                <w:szCs w:val="21"/>
              </w:rPr>
            </w:pPr>
            <w:r>
              <w:rPr>
                <w:b/>
                <w:color w:val="000000"/>
                <w:szCs w:val="21"/>
              </w:rPr>
              <w:t>2021-N1EMS-1210533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rFonts w:hint="eastAsia" w:eastAsia="宋体"/>
                <w:szCs w:val="21"/>
                <w:lang w:val="en-US" w:eastAsia="zh-CN"/>
              </w:rPr>
            </w:pPr>
            <w:r>
              <w:rPr>
                <w:rFonts w:hint="eastAsia"/>
                <w:szCs w:val="21"/>
                <w:lang w:val="en-US" w:eastAsia="zh-CN"/>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p>
            <w:pPr>
              <w:spacing w:line="240" w:lineRule="exact"/>
              <w:jc w:val="center"/>
              <w:rPr>
                <w:b/>
                <w:color w:val="000000"/>
                <w:szCs w:val="21"/>
              </w:rPr>
            </w:pPr>
            <w:r>
              <w:rPr>
                <w:b/>
                <w:color w:val="000000"/>
                <w:szCs w:val="21"/>
              </w:rPr>
              <w:t>长城建设集团有限公司</w:t>
            </w:r>
          </w:p>
        </w:tc>
        <w:tc>
          <w:tcPr>
            <w:tcW w:w="1140" w:type="dxa"/>
            <w:vAlign w:val="center"/>
          </w:tcPr>
          <w:p>
            <w:pPr>
              <w:spacing w:line="240" w:lineRule="exact"/>
              <w:jc w:val="center"/>
              <w:rPr>
                <w:b/>
                <w:color w:val="000000"/>
                <w:szCs w:val="21"/>
              </w:rPr>
            </w:pPr>
            <w:r>
              <w:rPr>
                <w:b/>
                <w:color w:val="000000"/>
                <w:szCs w:val="21"/>
              </w:rPr>
              <w:t>O:28.02.00,28.03.01,28.04.01</w:t>
            </w:r>
          </w:p>
          <w:p>
            <w:pPr>
              <w:spacing w:line="240" w:lineRule="exact"/>
              <w:jc w:val="center"/>
              <w:rPr>
                <w:b/>
                <w:color w:val="000000"/>
                <w:szCs w:val="21"/>
              </w:rPr>
            </w:pPr>
            <w:r>
              <w:rPr>
                <w:b/>
                <w:color w:val="000000"/>
                <w:szCs w:val="21"/>
              </w:rPr>
              <w:t>EC:28.02.00,28.03.01,28.04.01</w:t>
            </w:r>
          </w:p>
          <w:p>
            <w:pPr>
              <w:spacing w:line="240" w:lineRule="exact"/>
              <w:jc w:val="center"/>
              <w:rPr>
                <w:b/>
                <w:color w:val="000000"/>
                <w:szCs w:val="21"/>
              </w:rPr>
            </w:pPr>
            <w:r>
              <w:rPr>
                <w:b/>
                <w:color w:val="000000"/>
                <w:szCs w:val="21"/>
              </w:rPr>
              <w:t>E:28.02.00,28.03.01,28.04.01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2"/>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5" w:name="组织名称Add1"/>
            <w:r>
              <w:rPr>
                <w:rFonts w:ascii="宋体"/>
                <w:b/>
                <w:color w:val="000000"/>
                <w:szCs w:val="21"/>
              </w:rPr>
              <w:t>湖北成群建设工程有限公司</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6" w:name="注册地址"/>
            <w:r>
              <w:rPr>
                <w:rFonts w:ascii="宋体"/>
                <w:b/>
                <w:color w:val="000000"/>
                <w:szCs w:val="21"/>
              </w:rPr>
              <w:t>十堰经济技术开发区中观街马路村二组</w:t>
            </w:r>
            <w:bookmarkEnd w:id="16"/>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7" w:name="注册邮编"/>
            <w:r>
              <w:rPr>
                <w:rFonts w:ascii="宋体"/>
                <w:b/>
                <w:color w:val="000000"/>
                <w:szCs w:val="21"/>
              </w:rPr>
              <w:t>442100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8" w:name="生产地址"/>
            <w:bookmarkStart w:id="19" w:name="办公地址"/>
            <w:r>
              <w:rPr>
                <w:rFonts w:ascii="宋体"/>
                <w:b/>
                <w:color w:val="000000"/>
                <w:szCs w:val="21"/>
              </w:rPr>
              <w:t>十堰市天津路48号欣玺来酒店附属办公楼二楼</w:t>
            </w:r>
            <w:bookmarkEnd w:id="18"/>
            <w:bookmarkEnd w:id="19"/>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0" w:name="办公邮编"/>
            <w:r>
              <w:rPr>
                <w:rFonts w:ascii="宋体"/>
                <w:b/>
                <w:color w:val="000000"/>
                <w:szCs w:val="21"/>
              </w:rPr>
              <w:t>442100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1" w:name="联系人"/>
            <w:r>
              <w:rPr>
                <w:rFonts w:ascii="宋体"/>
                <w:b/>
                <w:color w:val="000000"/>
                <w:szCs w:val="21"/>
              </w:rPr>
              <w:t>陈萌萌</w:t>
            </w:r>
            <w:bookmarkEnd w:id="21"/>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2" w:name="联系人手机"/>
            <w:r>
              <w:rPr>
                <w:rFonts w:ascii="宋体"/>
                <w:b/>
                <w:color w:val="000000"/>
                <w:szCs w:val="21"/>
              </w:rPr>
              <w:t>0719-8888835</w:t>
            </w:r>
            <w:bookmarkEnd w:id="22"/>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3" w:name="联系人传真"/>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4" w:name="法人"/>
            <w:r>
              <w:rPr>
                <w:rFonts w:ascii="宋体"/>
                <w:b/>
                <w:color w:val="000000"/>
                <w:szCs w:val="21"/>
              </w:rPr>
              <w:t>付涛</w:t>
            </w:r>
            <w:bookmarkEnd w:id="24"/>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5" w:name="管理者代表"/>
            <w:r>
              <w:rPr>
                <w:rFonts w:ascii="宋体"/>
                <w:b/>
                <w:color w:val="000000"/>
                <w:szCs w:val="21"/>
              </w:rPr>
              <w:t>陈萌萌</w:t>
            </w:r>
            <w:bookmarkEnd w:id="25"/>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lang w:val="en-US"/>
              </w:rPr>
            </w:pPr>
            <w:r>
              <w:rPr>
                <w:rFonts w:hint="eastAsia" w:ascii="宋体" w:hAnsi="宋体"/>
                <w:b/>
                <w:color w:val="000000"/>
                <w:szCs w:val="21"/>
              </w:rPr>
              <w:t>产品：</w:t>
            </w:r>
            <w:bookmarkStart w:id="26" w:name="审核范围"/>
            <w:r>
              <w:t>资质范围内的建筑工程施工总承包、公路工程施工总承包、市政工程施工总承包</w:t>
            </w:r>
            <w:bookmarkEnd w:id="26"/>
            <w:r>
              <w:rPr>
                <w:rFonts w:hint="eastAsia"/>
                <w:lang w:val="en-US" w:eastAsia="zh-CN"/>
              </w:rPr>
              <w:t xml:space="preserve"> </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楷体" w:hAnsi="楷体" w:eastAsia="楷体" w:cs="楷体"/>
                <w:szCs w:val="21"/>
              </w:rPr>
            </w:pPr>
            <w:r>
              <w:rPr>
                <w:rFonts w:hint="eastAsia" w:ascii="楷体" w:hAnsi="楷体" w:eastAsia="楷体" w:cs="楷体"/>
                <w:szCs w:val="21"/>
              </w:rPr>
              <w:t>施工总流程：施工准备-材料设备进场-施工过程控制-分部分项工程验收（隐蔽工程验收）-竣工预验收-竣工验收-工程交付-保修服务</w:t>
            </w:r>
          </w:p>
          <w:p>
            <w:pPr>
              <w:numPr>
                <w:ilvl w:val="0"/>
                <w:numId w:val="2"/>
              </w:numPr>
              <w:rPr>
                <w:rFonts w:ascii="楷体" w:hAnsi="楷体" w:eastAsia="楷体" w:cs="楷体"/>
                <w:szCs w:val="21"/>
              </w:rPr>
            </w:pPr>
            <w:r>
              <w:rPr>
                <w:rFonts w:hint="eastAsia" w:ascii="楷体" w:hAnsi="楷体" w:eastAsia="楷体" w:cs="楷体"/>
                <w:szCs w:val="21"/>
              </w:rPr>
              <w:t>市政（城市道路、管道安装等）：施工前准备→测量放线→材料进场验收（外观检验、合格证、复试报告）→道路施工（土石方工程、路基路面工程、人行道工程）→给排水设施→路灯工程→ 道路附属工程→各工序、分部分项验收→ 竣工验收</w:t>
            </w:r>
          </w:p>
          <w:p>
            <w:pPr>
              <w:pStyle w:val="5"/>
              <w:rPr>
                <w:rFonts w:ascii="楷体" w:hAnsi="楷体" w:eastAsia="楷体" w:cs="楷体"/>
                <w:sz w:val="21"/>
                <w:szCs w:val="21"/>
              </w:rPr>
            </w:pPr>
            <w:r>
              <w:rPr>
                <w:rFonts w:hint="eastAsia" w:ascii="楷体" w:hAnsi="楷体" w:eastAsia="楷体" w:cs="楷体"/>
                <w:sz w:val="21"/>
                <w:szCs w:val="21"/>
              </w:rPr>
              <w:t>◢关键过程：土石方路基、挖石方路基、水泥稳定基层施工、沥青混泥土面层施工、给排水施工等</w:t>
            </w:r>
          </w:p>
          <w:p>
            <w:pPr>
              <w:pStyle w:val="5"/>
              <w:rPr>
                <w:rFonts w:ascii="楷体" w:hAnsi="楷体" w:eastAsia="楷体" w:cs="楷体"/>
                <w:sz w:val="21"/>
                <w:szCs w:val="21"/>
              </w:rPr>
            </w:pPr>
            <w:r>
              <w:rPr>
                <w:rFonts w:hint="eastAsia" w:ascii="楷体" w:hAnsi="楷体" w:eastAsia="楷体" w:cs="楷体"/>
                <w:sz w:val="21"/>
                <w:szCs w:val="21"/>
              </w:rPr>
              <w:t>◢特殊过程：路面稳定基层混合料配合比控制、橡胶沥青现场制备过程控制、沥青混合料拌合参数控制、沥青混合料摊铺及碾压参数控制等</w:t>
            </w:r>
          </w:p>
          <w:p>
            <w:pPr>
              <w:rPr>
                <w:rFonts w:ascii="楷体" w:hAnsi="楷体" w:eastAsia="楷体" w:cs="楷体"/>
                <w:szCs w:val="21"/>
              </w:rPr>
            </w:pPr>
            <w:r>
              <w:rPr>
                <w:rFonts w:hint="eastAsia" w:ascii="楷体" w:hAnsi="楷体" w:eastAsia="楷体" w:cs="楷体"/>
                <w:szCs w:val="21"/>
              </w:rPr>
              <w:t>2、公路工程：施工前准备→测量放线→材料进场验收（外观检验、合格证、复试报告）→道路施工（挖除旧路面、路基挖土方、路基填筑、边沟、挡土墙、路床处理、挂网喷播防护、路面底基层、路面基层、沥青混凝土面层、封层）→</w:t>
            </w:r>
          </w:p>
          <w:p>
            <w:pPr>
              <w:rPr>
                <w:rFonts w:ascii="楷体" w:hAnsi="楷体" w:eastAsia="楷体" w:cs="楷体"/>
                <w:szCs w:val="21"/>
              </w:rPr>
            </w:pPr>
            <w:r>
              <w:rPr>
                <w:rFonts w:hint="eastAsia" w:ascii="楷体" w:hAnsi="楷体" w:eastAsia="楷体" w:cs="楷体"/>
                <w:szCs w:val="21"/>
              </w:rPr>
              <w:t>圆管涵→钢筋混凝土盖板涵→波形钢板护栏→交通标志→各工序、分部分项验收→ 竣工验收</w:t>
            </w:r>
          </w:p>
          <w:p>
            <w:pPr>
              <w:pStyle w:val="5"/>
              <w:rPr>
                <w:rFonts w:ascii="楷体" w:hAnsi="楷体" w:eastAsia="楷体" w:cs="楷体"/>
                <w:sz w:val="21"/>
                <w:szCs w:val="21"/>
              </w:rPr>
            </w:pPr>
            <w:r>
              <w:rPr>
                <w:rFonts w:hint="eastAsia" w:ascii="楷体" w:hAnsi="楷体" w:eastAsia="楷体" w:cs="楷体"/>
                <w:sz w:val="21"/>
                <w:szCs w:val="21"/>
              </w:rPr>
              <w:t>◢关键过程：土石方路基、高填方路基、挖石方路基、水泥稳定基层施工、沥青混泥土面层施工、涵洞施工等</w:t>
            </w:r>
          </w:p>
          <w:p>
            <w:pPr>
              <w:pStyle w:val="5"/>
              <w:rPr>
                <w:rFonts w:ascii="楷体" w:hAnsi="楷体" w:eastAsia="楷体" w:cs="楷体"/>
                <w:sz w:val="21"/>
                <w:szCs w:val="21"/>
              </w:rPr>
            </w:pPr>
            <w:r>
              <w:rPr>
                <w:rFonts w:hint="eastAsia" w:ascii="楷体" w:hAnsi="楷体" w:eastAsia="楷体" w:cs="楷体"/>
                <w:sz w:val="21"/>
                <w:szCs w:val="21"/>
              </w:rPr>
              <w:t>◢特殊过程：路面稳定基层混合料配合比控制、橡胶沥青现场制备过程控制、沥青混合料拌合参数控制、沥青混合料摊铺及碾压参数控制等</w:t>
            </w:r>
          </w:p>
          <w:p>
            <w:pPr>
              <w:pStyle w:val="5"/>
              <w:rPr>
                <w:rFonts w:ascii="楷体" w:hAnsi="楷体" w:eastAsia="楷体" w:cs="楷体"/>
                <w:sz w:val="21"/>
                <w:szCs w:val="21"/>
              </w:rPr>
            </w:pPr>
            <w:r>
              <w:rPr>
                <w:rFonts w:hint="eastAsia" w:ascii="楷体" w:hAnsi="楷体" w:eastAsia="楷体" w:cs="楷体"/>
                <w:sz w:val="21"/>
                <w:szCs w:val="21"/>
              </w:rPr>
              <w:t>3、建筑工程</w:t>
            </w:r>
          </w:p>
          <w:p>
            <w:pPr>
              <w:rPr>
                <w:rFonts w:ascii="楷体" w:hAnsi="楷体" w:eastAsia="楷体" w:cs="楷体"/>
                <w:szCs w:val="21"/>
              </w:rPr>
            </w:pPr>
            <w:r>
              <w:rPr>
                <w:rFonts w:hint="eastAsia" w:ascii="楷体" w:hAnsi="楷体" w:eastAsia="楷体" w:cs="楷体"/>
                <w:szCs w:val="21"/>
              </w:rPr>
              <w:drawing>
                <wp:inline distT="0" distB="0" distL="114300" distR="114300">
                  <wp:extent cx="2890520" cy="3905885"/>
                  <wp:effectExtent l="0" t="0" r="508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890520" cy="3905885"/>
                          </a:xfrm>
                          <a:prstGeom prst="rect">
                            <a:avLst/>
                          </a:prstGeom>
                          <a:noFill/>
                          <a:ln w="9525">
                            <a:noFill/>
                          </a:ln>
                        </pic:spPr>
                      </pic:pic>
                    </a:graphicData>
                  </a:graphic>
                </wp:inline>
              </w:drawing>
            </w:r>
          </w:p>
          <w:p>
            <w:pPr>
              <w:pStyle w:val="2"/>
              <w:jc w:val="both"/>
              <w:rPr>
                <w:rFonts w:ascii="楷体" w:hAnsi="楷体" w:eastAsia="楷体" w:cs="楷体"/>
                <w:szCs w:val="21"/>
              </w:rPr>
            </w:pPr>
            <w:r>
              <w:rPr>
                <w:rFonts w:hint="eastAsia" w:ascii="楷体" w:hAnsi="楷体" w:eastAsia="楷体" w:cs="楷体"/>
                <w:szCs w:val="21"/>
              </w:rPr>
              <w:t>关键过程</w:t>
            </w:r>
          </w:p>
          <w:p>
            <w:pPr>
              <w:rPr>
                <w:rFonts w:ascii="楷体" w:hAnsi="楷体" w:eastAsia="楷体" w:cs="楷体"/>
                <w:szCs w:val="21"/>
              </w:rPr>
            </w:pPr>
            <w:r>
              <w:rPr>
                <w:rFonts w:hint="eastAsia" w:ascii="楷体" w:hAnsi="楷体" w:eastAsia="楷体" w:cs="楷体"/>
                <w:szCs w:val="21"/>
              </w:rPr>
              <w:t>1）基础工程方面包括：土方工程，混凝土灌注桩浇注，地下连续墙，土钉墙，后浇带及其他结构混凝土，防水混凝土浇筑，卷材防水层细部构造处理，钢结构安装。</w:t>
            </w:r>
          </w:p>
          <w:p>
            <w:pPr>
              <w:rPr>
                <w:rFonts w:ascii="楷体" w:hAnsi="楷体" w:eastAsia="楷体" w:cs="楷体"/>
                <w:szCs w:val="21"/>
              </w:rPr>
            </w:pPr>
            <w:r>
              <w:rPr>
                <w:rFonts w:hint="eastAsia" w:ascii="楷体" w:hAnsi="楷体" w:eastAsia="楷体" w:cs="楷体"/>
                <w:szCs w:val="21"/>
              </w:rPr>
              <w:t>2）主体结构工程方面包括：梁柱节点钢筋隐蔽工程，混凝土浇注，预应力张拉，装配式结构安装，钢结构安装，网架结构安装，索膜安装。</w:t>
            </w:r>
          </w:p>
          <w:p>
            <w:pPr>
              <w:rPr>
                <w:rFonts w:ascii="楷体" w:hAnsi="楷体" w:eastAsia="楷体" w:cs="楷体"/>
                <w:szCs w:val="21"/>
              </w:rPr>
            </w:pPr>
            <w:r>
              <w:rPr>
                <w:rFonts w:hint="eastAsia" w:ascii="楷体" w:hAnsi="楷体" w:eastAsia="楷体" w:cs="楷体"/>
                <w:szCs w:val="21"/>
              </w:rPr>
              <w:t>3）其它方面包括：外墙外保温施工，脚手架安拆，大型机械设备安拆。</w:t>
            </w:r>
          </w:p>
          <w:p>
            <w:pPr>
              <w:rPr>
                <w:rFonts w:ascii="楷体" w:hAnsi="楷体" w:eastAsia="楷体" w:cs="楷体"/>
                <w:szCs w:val="21"/>
              </w:rPr>
            </w:pPr>
            <w:r>
              <w:rPr>
                <w:rFonts w:hint="eastAsia" w:ascii="楷体" w:hAnsi="楷体" w:eastAsia="楷体" w:cs="楷体"/>
                <w:szCs w:val="21"/>
              </w:rPr>
              <w:t>控制措施：经过审批的施工组织设计及专门技术交底等</w:t>
            </w:r>
          </w:p>
          <w:p>
            <w:pPr>
              <w:rPr>
                <w:rFonts w:ascii="楷体" w:hAnsi="楷体" w:eastAsia="楷体" w:cs="楷体"/>
                <w:szCs w:val="21"/>
              </w:rPr>
            </w:pPr>
            <w:r>
              <w:rPr>
                <w:rFonts w:hint="eastAsia" w:ascii="楷体" w:hAnsi="楷体" w:eastAsia="楷体" w:cs="楷体"/>
                <w:szCs w:val="21"/>
              </w:rPr>
              <w:t>2、建筑工程需确认过程一般有：焊接、大体积混凝土浇筑、吊桩、钢结构防腐、防水工程等，对需确认过程的控制一般有以下几个方面：1、对设备、人员进行确认，2、按照经过确认审批的施工组织设计进行控制，3、设置工序质量控制点4、编制专门的技术交底，5、现场监督管理</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EC：资质范围内的建筑工程施工总承包、公路工程施工总承包、市政工程施工总承包</w:t>
            </w:r>
          </w:p>
        </w:tc>
        <w:tc>
          <w:tcPr>
            <w:tcW w:w="2006" w:type="dxa"/>
            <w:gridSpan w:val="3"/>
            <w:vAlign w:val="center"/>
          </w:tcPr>
          <w:p>
            <w:pPr>
              <w:rPr>
                <w:rFonts w:ascii="宋体" w:hAnsi="宋体"/>
                <w:b/>
                <w:color w:val="000000"/>
                <w:szCs w:val="21"/>
              </w:rPr>
            </w:pPr>
            <w:r>
              <w:t>O：28.02.00;28.03.01;28.04.01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E：资质范围内的建筑工程施工总承包、公路工程施工总承包、市政工程施工总承包所涉及场所的相关环境管理活动</w:t>
            </w:r>
          </w:p>
        </w:tc>
        <w:tc>
          <w:tcPr>
            <w:tcW w:w="2006" w:type="dxa"/>
            <w:gridSpan w:val="3"/>
            <w:vAlign w:val="center"/>
          </w:tcPr>
          <w:p>
            <w:pPr>
              <w:rPr>
                <w:rFonts w:ascii="宋体" w:hAnsi="宋体"/>
                <w:b/>
                <w:color w:val="000000"/>
                <w:szCs w:val="21"/>
              </w:rPr>
            </w:pPr>
            <w:r>
              <w:t>O：28.02.00;28.03.01;28.04.01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资质范围内的建筑工程施工总承包、公路工程施工总承包、市政工程施工总承包所涉及场所的相关职业健康安全管理活动</w:t>
            </w:r>
          </w:p>
        </w:tc>
        <w:tc>
          <w:tcPr>
            <w:tcW w:w="2006" w:type="dxa"/>
            <w:gridSpan w:val="3"/>
            <w:vAlign w:val="center"/>
          </w:tcPr>
          <w:p>
            <w:pPr>
              <w:rPr>
                <w:rFonts w:ascii="宋体" w:hAnsi="宋体"/>
                <w:b/>
                <w:color w:val="000000"/>
                <w:szCs w:val="21"/>
              </w:rPr>
            </w:pPr>
            <w:r>
              <w:t>O：28.02.00;28.03.01;28.04.01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69"/>
        <w:gridCol w:w="554"/>
        <w:gridCol w:w="3300"/>
        <w:gridCol w:w="88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69"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54"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3300"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8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湖北成群建设工程有限公司</w:t>
            </w:r>
          </w:p>
          <w:p>
            <w:pPr>
              <w:pStyle w:val="2"/>
              <w:jc w:val="both"/>
              <w:rPr>
                <w:lang w:val="de-DE" w:eastAsia="ja-JP"/>
              </w:rPr>
            </w:pPr>
            <w:r>
              <w:rPr>
                <w:sz w:val="21"/>
                <w:szCs w:val="21"/>
              </w:rPr>
              <w:t>十堰经济技术开发区中观街马路村二组</w:t>
            </w:r>
          </w:p>
        </w:tc>
        <w:tc>
          <w:tcPr>
            <w:tcW w:w="1569" w:type="dxa"/>
          </w:tcPr>
          <w:p>
            <w:pPr>
              <w:spacing w:before="40" w:after="40"/>
              <w:rPr>
                <w:rFonts w:hint="eastAsia"/>
              </w:rPr>
            </w:pPr>
            <w:r>
              <w:rPr>
                <w:rFonts w:hint="eastAsia"/>
              </w:rPr>
              <w:t>十堰市天津路48号欣玺来酒店附属办公楼二楼</w:t>
            </w:r>
          </w:p>
          <w:p>
            <w:pPr>
              <w:rPr>
                <w:rFonts w:hint="eastAsia"/>
                <w:color w:val="auto"/>
              </w:rPr>
            </w:pPr>
            <w:r>
              <w:rPr>
                <w:rFonts w:hint="eastAsia"/>
                <w:color w:val="auto"/>
              </w:rPr>
              <w:t>现场1：</w:t>
            </w:r>
            <w:r>
              <w:rPr>
                <w:rFonts w:hint="eastAsia"/>
                <w:color w:val="auto"/>
                <w:lang w:val="en-US" w:eastAsia="zh-CN"/>
              </w:rPr>
              <w:t>建筑总承包</w:t>
            </w:r>
          </w:p>
          <w:p>
            <w:pPr>
              <w:rPr>
                <w:rFonts w:hint="eastAsia"/>
                <w:color w:val="auto"/>
              </w:rPr>
            </w:pPr>
            <w:r>
              <w:rPr>
                <w:rFonts w:hint="eastAsia"/>
                <w:color w:val="auto"/>
              </w:rPr>
              <w:t>十堰东城经济开发区茅箭堂村陈家岗便民市场改造项目</w:t>
            </w:r>
            <w:r>
              <w:rPr>
                <w:rFonts w:hint="eastAsia"/>
                <w:color w:val="auto"/>
              </w:rPr>
              <w:tab/>
            </w:r>
          </w:p>
          <w:p>
            <w:pPr>
              <w:rPr>
                <w:rFonts w:hint="eastAsia"/>
                <w:color w:val="auto"/>
              </w:rPr>
            </w:pPr>
            <w:r>
              <w:rPr>
                <w:rFonts w:hint="eastAsia"/>
                <w:color w:val="auto"/>
              </w:rPr>
              <w:t>十堰东城经济开发区茅箭堂村陈家岗</w:t>
            </w:r>
          </w:p>
          <w:p>
            <w:pPr>
              <w:rPr>
                <w:rFonts w:hint="eastAsia"/>
                <w:color w:val="auto"/>
                <w:lang w:val="en-US" w:eastAsia="zh-CN"/>
              </w:rPr>
            </w:pPr>
            <w:r>
              <w:rPr>
                <w:rFonts w:hint="eastAsia"/>
                <w:color w:val="auto"/>
                <w:lang w:val="en-US" w:eastAsia="zh-CN"/>
              </w:rPr>
              <w:t>现场2</w:t>
            </w:r>
          </w:p>
          <w:p>
            <w:pPr>
              <w:rPr>
                <w:rFonts w:hint="eastAsia"/>
                <w:color w:val="auto"/>
              </w:rPr>
            </w:pPr>
            <w:r>
              <w:rPr>
                <w:rFonts w:hint="eastAsia"/>
                <w:color w:val="auto"/>
              </w:rPr>
              <w:t>茅塔乡台子村四组通组道路提档升级项目</w:t>
            </w:r>
            <w:r>
              <w:rPr>
                <w:rFonts w:hint="eastAsia"/>
                <w:color w:val="auto"/>
              </w:rPr>
              <w:tab/>
            </w:r>
            <w:r>
              <w:rPr>
                <w:rFonts w:hint="eastAsia"/>
                <w:color w:val="auto"/>
              </w:rPr>
              <w:t>茅塔乡台子村</w:t>
            </w:r>
          </w:p>
          <w:p>
            <w:pPr>
              <w:rPr>
                <w:rFonts w:hint="eastAsia"/>
                <w:color w:val="auto"/>
                <w:lang w:val="en-US" w:eastAsia="zh-CN"/>
              </w:rPr>
            </w:pPr>
            <w:r>
              <w:rPr>
                <w:rFonts w:hint="eastAsia"/>
                <w:color w:val="auto"/>
                <w:lang w:val="en-US" w:eastAsia="zh-CN"/>
              </w:rPr>
              <w:t>现场3</w:t>
            </w:r>
          </w:p>
          <w:p>
            <w:pPr>
              <w:rPr>
                <w:color w:val="auto"/>
                <w:szCs w:val="21"/>
                <w:u w:val="single"/>
              </w:rPr>
            </w:pPr>
            <w:r>
              <w:rPr>
                <w:rFonts w:hint="eastAsia"/>
                <w:color w:val="auto"/>
              </w:rPr>
              <w:t>茅箭区2021年市政设施维护维修项目</w:t>
            </w:r>
            <w:r>
              <w:rPr>
                <w:rFonts w:hint="eastAsia"/>
                <w:color w:val="auto"/>
              </w:rPr>
              <w:tab/>
            </w:r>
            <w:r>
              <w:rPr>
                <w:rFonts w:hint="eastAsia"/>
                <w:color w:val="auto"/>
              </w:rPr>
              <w:t>十堰市茅箭区</w:t>
            </w:r>
          </w:p>
          <w:p>
            <w:pPr>
              <w:pStyle w:val="2"/>
              <w:jc w:val="both"/>
              <w:rPr>
                <w:lang w:val="de-DE" w:eastAsia="ja-JP"/>
              </w:rPr>
            </w:pPr>
          </w:p>
        </w:tc>
        <w:tc>
          <w:tcPr>
            <w:tcW w:w="554" w:type="dxa"/>
            <w:vAlign w:val="center"/>
          </w:tcPr>
          <w:p>
            <w:pPr>
              <w:spacing w:before="40" w:after="40"/>
              <w:rPr>
                <w:rFonts w:hint="eastAsia" w:eastAsia="黑体"/>
                <w:szCs w:val="21"/>
                <w:lang w:val="en-US" w:eastAsia="zh-CN"/>
              </w:rPr>
            </w:pPr>
            <w:r>
              <w:rPr>
                <w:rFonts w:hint="eastAsia" w:eastAsia="黑体"/>
                <w:szCs w:val="21"/>
                <w:lang w:val="en-US" w:eastAsia="zh-CN"/>
              </w:rPr>
              <w:t>45</w:t>
            </w:r>
          </w:p>
        </w:tc>
        <w:tc>
          <w:tcPr>
            <w:tcW w:w="3300" w:type="dxa"/>
            <w:vAlign w:val="center"/>
          </w:tcPr>
          <w:p>
            <w:r>
              <w:t>O：资质范围内的建筑工程施工总承包、公路工程施工总承包、市政工程施工总承包所涉及场所的相关职业健康安全管理活动</w:t>
            </w:r>
          </w:p>
          <w:p>
            <w:r>
              <w:t>EC：资质范围内的建筑工程施工总承包、公路工程施工总承包、市政工程施工总承包</w:t>
            </w:r>
          </w:p>
          <w:p>
            <w:pPr>
              <w:pStyle w:val="22"/>
              <w:rPr>
                <w:rFonts w:eastAsia="黑体" w:cs="Arial"/>
                <w:sz w:val="21"/>
                <w:szCs w:val="21"/>
                <w:lang w:val="en-US" w:eastAsia="ja-JP"/>
              </w:rPr>
            </w:pPr>
            <w:r>
              <w:t>E：资质范围内的建筑工程施工总承包、公路工程施工总承包、市政工程施工总承包所涉及场所的相关环境管理活动</w:t>
            </w:r>
          </w:p>
        </w:tc>
        <w:tc>
          <w:tcPr>
            <w:tcW w:w="887"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 50430-2017</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554" w:type="dxa"/>
            <w:vAlign w:val="center"/>
          </w:tcPr>
          <w:p>
            <w:pPr>
              <w:spacing w:before="40" w:after="40"/>
              <w:rPr>
                <w:rFonts w:eastAsia="黑体"/>
                <w:szCs w:val="21"/>
                <w:lang w:eastAsia="ja-JP"/>
              </w:rPr>
            </w:pPr>
          </w:p>
        </w:tc>
        <w:tc>
          <w:tcPr>
            <w:tcW w:w="3300" w:type="dxa"/>
            <w:vAlign w:val="center"/>
          </w:tcPr>
          <w:p>
            <w:pPr>
              <w:spacing w:before="40" w:after="40"/>
              <w:rPr>
                <w:rFonts w:eastAsia="黑体"/>
                <w:szCs w:val="21"/>
                <w:lang w:eastAsia="ja-JP"/>
              </w:rPr>
            </w:pPr>
          </w:p>
        </w:tc>
        <w:tc>
          <w:tcPr>
            <w:tcW w:w="88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554" w:type="dxa"/>
            <w:vAlign w:val="center"/>
          </w:tcPr>
          <w:p>
            <w:pPr>
              <w:spacing w:before="40" w:after="40"/>
              <w:rPr>
                <w:rFonts w:eastAsia="黑体"/>
                <w:szCs w:val="21"/>
                <w:lang w:eastAsia="ja-JP"/>
              </w:rPr>
            </w:pPr>
          </w:p>
        </w:tc>
        <w:tc>
          <w:tcPr>
            <w:tcW w:w="3300" w:type="dxa"/>
            <w:vAlign w:val="center"/>
          </w:tcPr>
          <w:p>
            <w:pPr>
              <w:spacing w:before="40" w:after="40"/>
              <w:rPr>
                <w:rFonts w:eastAsia="黑体"/>
                <w:szCs w:val="21"/>
                <w:lang w:eastAsia="ja-JP"/>
              </w:rPr>
            </w:pPr>
          </w:p>
        </w:tc>
        <w:tc>
          <w:tcPr>
            <w:tcW w:w="88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554" w:type="dxa"/>
            <w:vAlign w:val="center"/>
          </w:tcPr>
          <w:p>
            <w:pPr>
              <w:spacing w:before="40" w:after="40"/>
              <w:rPr>
                <w:rFonts w:eastAsia="黑体"/>
                <w:szCs w:val="21"/>
                <w:lang w:eastAsia="ja-JP"/>
              </w:rPr>
            </w:pPr>
          </w:p>
        </w:tc>
        <w:tc>
          <w:tcPr>
            <w:tcW w:w="3300" w:type="dxa"/>
            <w:vAlign w:val="center"/>
          </w:tcPr>
          <w:p>
            <w:pPr>
              <w:spacing w:before="40" w:after="40"/>
              <w:rPr>
                <w:rFonts w:eastAsia="黑体"/>
                <w:szCs w:val="21"/>
                <w:lang w:eastAsia="ja-JP"/>
              </w:rPr>
            </w:pPr>
          </w:p>
        </w:tc>
        <w:tc>
          <w:tcPr>
            <w:tcW w:w="887"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69" w:type="dxa"/>
            <w:vAlign w:val="center"/>
          </w:tcPr>
          <w:p>
            <w:pPr>
              <w:spacing w:before="40" w:after="40"/>
              <w:rPr>
                <w:rFonts w:eastAsia="黑体"/>
                <w:szCs w:val="21"/>
                <w:lang w:eastAsia="ja-JP"/>
              </w:rPr>
            </w:pPr>
          </w:p>
        </w:tc>
        <w:tc>
          <w:tcPr>
            <w:tcW w:w="554" w:type="dxa"/>
            <w:vAlign w:val="center"/>
          </w:tcPr>
          <w:p>
            <w:pPr>
              <w:spacing w:before="40" w:after="40"/>
              <w:rPr>
                <w:rFonts w:eastAsia="黑体"/>
                <w:szCs w:val="21"/>
                <w:lang w:eastAsia="ja-JP"/>
              </w:rPr>
            </w:pPr>
          </w:p>
        </w:tc>
        <w:tc>
          <w:tcPr>
            <w:tcW w:w="3300" w:type="dxa"/>
            <w:vAlign w:val="center"/>
          </w:tcPr>
          <w:p>
            <w:pPr>
              <w:spacing w:before="40" w:after="40"/>
              <w:rPr>
                <w:rFonts w:eastAsia="黑体"/>
                <w:szCs w:val="21"/>
                <w:lang w:eastAsia="ja-JP"/>
              </w:rPr>
            </w:pPr>
          </w:p>
        </w:tc>
        <w:tc>
          <w:tcPr>
            <w:tcW w:w="887"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2"/>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2"/>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7</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年5月13日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2"/>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质量关键过程（工序）：</w:t>
            </w:r>
          </w:p>
          <w:p>
            <w:pPr>
              <w:rPr>
                <w:rFonts w:asciiTheme="majorEastAsia" w:hAnsiTheme="majorEastAsia" w:eastAsiaTheme="majorEastAsia" w:cstheme="majorEastAsia"/>
                <w:color w:val="000000"/>
                <w:szCs w:val="21"/>
                <w:u w:val="single"/>
              </w:rPr>
            </w:pPr>
            <w:r>
              <w:rPr>
                <w:rFonts w:hint="eastAsia" w:asciiTheme="majorEastAsia" w:hAnsiTheme="majorEastAsia" w:eastAsiaTheme="majorEastAsia" w:cstheme="majorEastAsia"/>
                <w:color w:val="000000"/>
                <w:szCs w:val="21"/>
              </w:rPr>
              <w:t>1、市政道路施工：</w:t>
            </w:r>
            <w:r>
              <w:rPr>
                <w:rFonts w:hint="eastAsia" w:asciiTheme="majorEastAsia" w:hAnsiTheme="majorEastAsia" w:eastAsiaTheme="majorEastAsia" w:cstheme="majorEastAsia"/>
                <w:szCs w:val="21"/>
              </w:rPr>
              <w:t>土石方路基、挖石方路基、水泥稳定基层施工、沥青混泥土面层施工、给排水施工等</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相关控制参数名称：</w:t>
            </w:r>
            <w:r>
              <w:rPr>
                <w:rFonts w:hint="eastAsia" w:asciiTheme="majorEastAsia" w:hAnsiTheme="majorEastAsia" w:eastAsiaTheme="majorEastAsia" w:cstheme="majorEastAsia"/>
                <w:color w:val="000000"/>
                <w:szCs w:val="21"/>
                <w:u w:val="single"/>
              </w:rPr>
              <w:t>；</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u w:val="single"/>
              </w:rPr>
              <w:t>2、公路工程：</w:t>
            </w:r>
            <w:r>
              <w:rPr>
                <w:rFonts w:hint="eastAsia" w:asciiTheme="majorEastAsia" w:hAnsiTheme="majorEastAsia" w:eastAsiaTheme="majorEastAsia" w:cstheme="majorEastAsia"/>
                <w:szCs w:val="21"/>
              </w:rPr>
              <w:t>土石方路基、高填方路基、挖石方路基、水泥稳定基层施工、沥青混泥土面层施工、涵洞施工等</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3、建筑工程：</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1）基础工程方面包括：土方工程，混凝土灌注桩浇注，地下连续墙，土钉墙，后浇带及其他结构混凝土，防水混凝土浇筑，卷材防水层细部构造处理，钢结构安装。</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2）主体结构工程方面包括：梁柱节点钢筋隐蔽工程，混凝土浇注，预应力张拉，装配式结构安装，钢结构安装，网架结构安装，索膜安装。</w:t>
            </w:r>
          </w:p>
          <w:p>
            <w:pPr>
              <w:rPr>
                <w:rFonts w:ascii="宋体"/>
                <w:color w:val="000000"/>
                <w:szCs w:val="21"/>
              </w:rPr>
            </w:pPr>
            <w:r>
              <w:rPr>
                <w:rFonts w:hint="eastAsia" w:asciiTheme="majorEastAsia" w:hAnsiTheme="majorEastAsia" w:eastAsiaTheme="majorEastAsia" w:cstheme="majorEastAsia"/>
                <w:szCs w:val="21"/>
              </w:rPr>
              <w:t>3）其它方面包括：外墙外保温施工，脚手架安拆，大型机械设备安拆。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需要确认的过程（工序）：</w:t>
            </w:r>
          </w:p>
          <w:p>
            <w:pPr>
              <w:pStyle w:val="5"/>
              <w:rPr>
                <w:rFonts w:asciiTheme="majorEastAsia" w:hAnsiTheme="majorEastAsia" w:eastAsiaTheme="majorEastAsia" w:cstheme="majorEastAsia"/>
                <w:color w:val="000000"/>
                <w:sz w:val="21"/>
                <w:szCs w:val="21"/>
                <w:u w:val="single"/>
              </w:rPr>
            </w:pPr>
            <w:r>
              <w:rPr>
                <w:rFonts w:hint="eastAsia" w:asciiTheme="majorEastAsia" w:hAnsiTheme="majorEastAsia" w:eastAsiaTheme="majorEastAsia" w:cstheme="majorEastAsia"/>
                <w:color w:val="000000"/>
                <w:sz w:val="21"/>
                <w:szCs w:val="21"/>
              </w:rPr>
              <w:t>公路工程：</w:t>
            </w:r>
            <w:r>
              <w:rPr>
                <w:rFonts w:hint="eastAsia" w:asciiTheme="majorEastAsia" w:hAnsiTheme="majorEastAsia" w:eastAsiaTheme="majorEastAsia" w:cstheme="majorEastAsia"/>
                <w:sz w:val="21"/>
                <w:szCs w:val="21"/>
              </w:rPr>
              <w:t>路面稳定基层混合料配合比控制、橡胶沥青现场制备过程控制、沥青混合料拌合参数控制、沥青混合料摊铺及碾压参数控制等</w:t>
            </w:r>
            <w:r>
              <w:rPr>
                <w:rFonts w:hint="eastAsia" w:asciiTheme="majorEastAsia" w:hAnsiTheme="majorEastAsia" w:eastAsiaTheme="majorEastAsia" w:cstheme="majorEastAsia"/>
                <w:color w:val="000000"/>
                <w:sz w:val="21"/>
                <w:szCs w:val="21"/>
                <w:u w:val="single"/>
              </w:rPr>
              <w:t>；</w:t>
            </w:r>
          </w:p>
          <w:p>
            <w:pPr>
              <w:pStyle w:val="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u w:val="single"/>
              </w:rPr>
              <w:t>市政道路：</w:t>
            </w:r>
            <w:r>
              <w:rPr>
                <w:rFonts w:hint="eastAsia" w:asciiTheme="majorEastAsia" w:hAnsiTheme="majorEastAsia" w:eastAsiaTheme="majorEastAsia" w:cstheme="majorEastAsia"/>
                <w:sz w:val="21"/>
                <w:szCs w:val="21"/>
              </w:rPr>
              <w:t>路面稳定基层混合料配合比控制、橡胶沥青现场制备过程控制、沥青混合料拌合参数控制、沥青混合料摊铺及碾压参数控制等</w:t>
            </w:r>
          </w:p>
          <w:p>
            <w:pPr>
              <w:pStyle w:val="5"/>
              <w:rPr>
                <w:rFonts w:ascii="宋体"/>
                <w:color w:val="000000"/>
                <w:spacing w:val="-10"/>
                <w:szCs w:val="21"/>
              </w:rPr>
            </w:pPr>
            <w:r>
              <w:rPr>
                <w:rFonts w:hint="eastAsia" w:asciiTheme="majorEastAsia" w:hAnsiTheme="majorEastAsia" w:eastAsiaTheme="majorEastAsia" w:cstheme="majorEastAsia"/>
                <w:sz w:val="21"/>
                <w:szCs w:val="21"/>
              </w:rPr>
              <w:t>建筑工程：焊接、大体积混凝土浇筑、吊桩、钢结构防腐、防水工程等</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auto"/>
                <w:spacing w:val="-10"/>
                <w:szCs w:val="21"/>
              </w:rPr>
            </w:pPr>
            <w:r>
              <w:rPr>
                <w:rFonts w:hint="eastAsia" w:ascii="宋体" w:hAnsi="宋体"/>
                <w:color w:val="auto"/>
                <w:spacing w:val="-10"/>
                <w:szCs w:val="21"/>
              </w:rPr>
              <w:t>外包过程（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eastAsia" w:ascii="宋体" w:eastAsia="宋体"/>
                <w:color w:val="auto"/>
                <w:spacing w:val="-10"/>
                <w:szCs w:val="21"/>
                <w:lang w:val="en-US" w:eastAsia="zh-CN"/>
              </w:rPr>
            </w:pPr>
            <w:r>
              <w:rPr>
                <w:rFonts w:hint="eastAsia" w:ascii="宋体"/>
                <w:color w:val="auto"/>
                <w:spacing w:val="-10"/>
                <w:szCs w:val="21"/>
                <w:lang w:val="en-US" w:eastAsia="zh-CN"/>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eastAsia="宋体" w:cs="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2"/>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zCs w:val="21"/>
              </w:rPr>
              <w:t>□</w:t>
            </w:r>
            <w:bookmarkStart w:id="28" w:name="_GoBack"/>
            <w:bookmarkEnd w:id="28"/>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Layout w:type="fixed"/>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color w:val="000000"/>
                <w:spacing w:val="-10"/>
                <w:szCs w:val="21"/>
              </w:rPr>
              <w:t>环境主管部门、□动力装置场所、□危险化学品仓库、□污染物治疗设施、□危废堆放场所，</w:t>
            </w:r>
            <w:r>
              <w:rPr>
                <w:rFonts w:hint="eastAsia" w:ascii="宋体" w:hAnsi="宋体"/>
                <w:color w:val="000000"/>
                <w:spacing w:val="-10"/>
                <w:szCs w:val="21"/>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2"/>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11" w:firstLineChars="100"/>
        <w:rPr>
          <w:rFonts w:hint="eastAsia" w:ascii="宋体" w:hAnsi="宋体" w:eastAsia="宋体"/>
          <w:b/>
          <w:color w:val="000000"/>
          <w:spacing w:val="-2"/>
          <w:szCs w:val="21"/>
          <w:lang w:eastAsia="zh-CN"/>
        </w:rPr>
      </w:pPr>
      <w:r>
        <w:rPr>
          <w:rFonts w:hint="eastAsia" w:ascii="Wingdings" w:hAnsi="Wingdings" w:eastAsia="黑体"/>
          <w:b/>
          <w:szCs w:val="21"/>
          <w:lang w:val="en-US" w:eastAsia="zh-CN"/>
        </w:rPr>
        <w:t xml:space="preserve"> </w:t>
      </w: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2"/>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auto"/>
                <w:szCs w:val="21"/>
              </w:rPr>
              <w:t>确定多场所/临时场所的分布、距离及预估路途时间（适用时</w:t>
            </w:r>
            <w:r>
              <w:rPr>
                <w:rFonts w:hint="eastAsia" w:ascii="宋体" w:hAnsi="宋体"/>
                <w:b/>
                <w:color w:val="0000FF"/>
                <w:szCs w:val="21"/>
              </w:rPr>
              <w:t>）</w:t>
            </w:r>
          </w:p>
        </w:tc>
        <w:tc>
          <w:tcPr>
            <w:tcW w:w="7134" w:type="dxa"/>
          </w:tcPr>
          <w:p>
            <w:pPr>
              <w:rPr>
                <w:rFonts w:hint="eastAsia"/>
                <w:color w:val="auto"/>
              </w:rPr>
            </w:pPr>
            <w:r>
              <w:rPr>
                <w:rFonts w:hint="eastAsia"/>
                <w:color w:val="auto"/>
              </w:rPr>
              <w:t>现场1：</w:t>
            </w:r>
            <w:r>
              <w:rPr>
                <w:rFonts w:hint="eastAsia"/>
                <w:color w:val="auto"/>
                <w:lang w:val="en-US" w:eastAsia="zh-CN"/>
              </w:rPr>
              <w:t>建筑总承包</w:t>
            </w:r>
          </w:p>
          <w:p>
            <w:pPr>
              <w:rPr>
                <w:rFonts w:hint="eastAsia"/>
                <w:color w:val="auto"/>
              </w:rPr>
            </w:pPr>
            <w:r>
              <w:rPr>
                <w:rFonts w:hint="eastAsia"/>
                <w:color w:val="auto"/>
              </w:rPr>
              <w:t>十堰东城经济开发区茅箭堂村陈家岗便民市场改造项目</w:t>
            </w:r>
            <w:r>
              <w:rPr>
                <w:rFonts w:hint="eastAsia"/>
                <w:color w:val="auto"/>
              </w:rPr>
              <w:tab/>
            </w:r>
          </w:p>
          <w:p>
            <w:pPr>
              <w:rPr>
                <w:rFonts w:hint="eastAsia"/>
                <w:color w:val="auto"/>
              </w:rPr>
            </w:pPr>
            <w:r>
              <w:rPr>
                <w:rFonts w:hint="eastAsia"/>
                <w:color w:val="auto"/>
              </w:rPr>
              <w:t>十堰东城经济开发区茅箭堂村陈家岗</w:t>
            </w:r>
            <w:r>
              <w:rPr>
                <w:rFonts w:hint="eastAsia"/>
                <w:color w:val="auto"/>
                <w:lang w:val="en-US" w:eastAsia="zh-CN"/>
              </w:rPr>
              <w:t xml:space="preserve"> 距总部15分钟</w:t>
            </w:r>
          </w:p>
          <w:p>
            <w:pPr>
              <w:rPr>
                <w:rFonts w:hint="eastAsia"/>
                <w:color w:val="auto"/>
                <w:lang w:val="en-US" w:eastAsia="zh-CN"/>
              </w:rPr>
            </w:pPr>
            <w:r>
              <w:rPr>
                <w:rFonts w:hint="eastAsia"/>
                <w:color w:val="auto"/>
                <w:lang w:val="en-US" w:eastAsia="zh-CN"/>
              </w:rPr>
              <w:t>现场2</w:t>
            </w:r>
          </w:p>
          <w:p>
            <w:pPr>
              <w:rPr>
                <w:rFonts w:hint="eastAsia"/>
                <w:color w:val="auto"/>
              </w:rPr>
            </w:pPr>
            <w:r>
              <w:rPr>
                <w:rFonts w:hint="eastAsia"/>
                <w:color w:val="auto"/>
              </w:rPr>
              <w:t>茅塔乡台子村四组通组道路提档升级项目</w:t>
            </w:r>
            <w:r>
              <w:rPr>
                <w:rFonts w:hint="eastAsia"/>
                <w:color w:val="auto"/>
              </w:rPr>
              <w:tab/>
            </w:r>
            <w:r>
              <w:rPr>
                <w:rFonts w:hint="eastAsia"/>
                <w:color w:val="auto"/>
              </w:rPr>
              <w:t>茅塔乡台子村</w:t>
            </w:r>
            <w:r>
              <w:rPr>
                <w:rFonts w:hint="eastAsia"/>
                <w:color w:val="auto"/>
                <w:lang w:val="en-US" w:eastAsia="zh-CN"/>
              </w:rPr>
              <w:t xml:space="preserve">  距总部1小时</w:t>
            </w:r>
          </w:p>
          <w:p>
            <w:pPr>
              <w:rPr>
                <w:rFonts w:hint="eastAsia"/>
                <w:color w:val="auto"/>
                <w:lang w:val="en-US" w:eastAsia="zh-CN"/>
              </w:rPr>
            </w:pPr>
            <w:r>
              <w:rPr>
                <w:rFonts w:hint="eastAsia"/>
                <w:color w:val="auto"/>
                <w:lang w:val="en-US" w:eastAsia="zh-CN"/>
              </w:rPr>
              <w:t>现场3</w:t>
            </w:r>
          </w:p>
          <w:p>
            <w:pPr>
              <w:rPr>
                <w:color w:val="auto"/>
                <w:szCs w:val="21"/>
                <w:u w:val="single"/>
              </w:rPr>
            </w:pPr>
            <w:r>
              <w:rPr>
                <w:rFonts w:hint="eastAsia"/>
                <w:color w:val="auto"/>
              </w:rPr>
              <w:t>茅箭区2021年市政设施维护维修项目</w:t>
            </w:r>
            <w:r>
              <w:rPr>
                <w:rFonts w:hint="eastAsia"/>
                <w:color w:val="auto"/>
              </w:rPr>
              <w:tab/>
            </w:r>
            <w:r>
              <w:rPr>
                <w:rFonts w:hint="eastAsia"/>
                <w:color w:val="auto"/>
              </w:rPr>
              <w:t>十堰市茅箭区</w:t>
            </w:r>
            <w:r>
              <w:rPr>
                <w:rFonts w:hint="eastAsia"/>
                <w:color w:val="auto"/>
                <w:lang w:val="en-US" w:eastAsia="zh-CN"/>
              </w:rPr>
              <w:t xml:space="preserve"> 距总部0.5小时</w:t>
            </w:r>
          </w:p>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7" w:name="二阶段审核日期"/>
            <w:r>
              <w:rPr>
                <w:rFonts w:hint="eastAsia" w:ascii="宋体"/>
                <w:b/>
                <w:color w:val="000000"/>
                <w:szCs w:val="21"/>
              </w:rPr>
              <w:t>2022-07-</w:t>
            </w:r>
            <w:bookmarkEnd w:id="27"/>
            <w:r>
              <w:rPr>
                <w:rFonts w:hint="eastAsia" w:ascii="宋体"/>
                <w:b/>
                <w:color w:val="000000"/>
                <w:szCs w:val="21"/>
                <w:lang w:val="en-US" w:eastAsia="zh-CN"/>
              </w:rPr>
              <w:t>09-13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2"/>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2"/>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zCs w:val="21"/>
              </w:rPr>
              <w:t>▇</w:t>
            </w:r>
            <w:r>
              <w:rPr>
                <w:rFonts w:ascii="宋体" w:hAnsi="宋体"/>
                <w:b/>
                <w:color w:val="000000"/>
                <w:szCs w:val="21"/>
              </w:rPr>
              <w:t>EMS/</w:t>
            </w:r>
            <w:r>
              <w:rPr>
                <w:rFonts w:hint="eastAsia" w:ascii="宋体" w:hAnsi="宋体" w:eastAsia="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b/>
                <w:color w:val="00000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0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b/>
                <w:color w:val="000000"/>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b/>
                <w:color w:val="000000"/>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2"/>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zCs w:val="21"/>
              </w:rPr>
              <w:t>▇</w:t>
            </w:r>
            <w:r>
              <w:rPr>
                <w:rFonts w:ascii="宋体" w:hAnsi="宋体"/>
                <w:b/>
                <w:color w:val="000000"/>
                <w:szCs w:val="21"/>
              </w:rPr>
              <w:t>EMS/</w:t>
            </w:r>
            <w:r>
              <w:rPr>
                <w:rFonts w:hint="eastAsia" w:ascii="宋体" w:hAnsi="宋体" w:eastAsia="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2462530</wp:posOffset>
            </wp:positionH>
            <wp:positionV relativeFrom="paragraph">
              <wp:posOffset>337185</wp:posOffset>
            </wp:positionV>
            <wp:extent cx="730250" cy="266700"/>
            <wp:effectExtent l="0" t="0" r="635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730250" cy="266700"/>
                    </a:xfrm>
                    <a:prstGeom prst="rect">
                      <a:avLst/>
                    </a:prstGeom>
                    <a:noFill/>
                    <a:ln w="9525">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0288" behindDoc="0" locked="0" layoutInCell="1" allowOverlap="1">
            <wp:simplePos x="0" y="0"/>
            <wp:positionH relativeFrom="column">
              <wp:posOffset>1687195</wp:posOffset>
            </wp:positionH>
            <wp:positionV relativeFrom="paragraph">
              <wp:posOffset>6350</wp:posOffset>
            </wp:positionV>
            <wp:extent cx="560705" cy="265430"/>
            <wp:effectExtent l="0" t="0" r="10795" b="1270"/>
            <wp:wrapNone/>
            <wp:docPr id="3"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电子签名"/>
                    <pic:cNvPicPr>
                      <a:picLocks noChangeAspect="1"/>
                    </pic:cNvPicPr>
                  </pic:nvPicPr>
                  <pic:blipFill>
                    <a:blip r:embed="rId8"/>
                    <a:srcRect l="41833" t="25583" r="41293" b="33240"/>
                    <a:stretch>
                      <a:fillRect/>
                    </a:stretch>
                  </pic:blipFill>
                  <pic:spPr>
                    <a:xfrm>
                      <a:off x="0" y="0"/>
                      <a:ext cx="560705" cy="265430"/>
                    </a:xfrm>
                    <a:prstGeom prst="rect">
                      <a:avLst/>
                    </a:prstGeom>
                    <a:noFill/>
                    <a:ln w="9525">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2336" behindDoc="0" locked="0" layoutInCell="1" allowOverlap="1">
            <wp:simplePos x="0" y="0"/>
            <wp:positionH relativeFrom="column">
              <wp:posOffset>4417060</wp:posOffset>
            </wp:positionH>
            <wp:positionV relativeFrom="paragraph">
              <wp:posOffset>-203200</wp:posOffset>
            </wp:positionV>
            <wp:extent cx="699135" cy="396240"/>
            <wp:effectExtent l="0" t="0" r="12065" b="1016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699135" cy="396240"/>
                    </a:xfrm>
                    <a:prstGeom prst="rect">
                      <a:avLst/>
                    </a:prstGeom>
                    <a:noFill/>
                    <a:ln w="9525">
                      <a:noFill/>
                    </a:ln>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2022.7.4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2"/>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New Gulim">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_x000B__x000C_">
    <w:altName w:val="Times New Roman"/>
    <w:panose1 w:val="00000000000000000000"/>
    <w:charset w:val="00"/>
    <w:family w:val="auto"/>
    <w:pitch w:val="default"/>
    <w:sig w:usb0="00000000" w:usb1="00000000" w:usb2="00000000" w:usb3="00000000" w:csb0="00040001"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 w:name="方正大标宋简体">
    <w:altName w:val="宋体"/>
    <w:panose1 w:val="02010601030101010101"/>
    <w:charset w:val="86"/>
    <w:family w:val="auto"/>
    <w:pitch w:val="default"/>
    <w:sig w:usb0="00000000" w:usb1="00000000" w:usb2="00000010" w:usb3="00000000" w:csb0="00040000" w:csb1="00000000"/>
  </w:font>
  <w:font w:name="文鼎齿轮体">
    <w:altName w:val="宋体"/>
    <w:panose1 w:val="020B0602010101010101"/>
    <w:charset w:val="86"/>
    <w:family w:val="swiss"/>
    <w:pitch w:val="default"/>
    <w:sig w:usb0="00000000" w:usb1="00000000" w:usb2="00000010" w:usb3="00000000" w:csb0="00040000" w:csb1="00000000"/>
  </w:font>
  <w:font w:name="方正彩云简体">
    <w:altName w:val="宋体"/>
    <w:panose1 w:val="02010601030101010101"/>
    <w:charset w:val="86"/>
    <w:family w:val="auto"/>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D2290B85"/>
    <w:multiLevelType w:val="singleLevel"/>
    <w:tmpl w:val="D2290B85"/>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4E211AB"/>
    <w:rsid w:val="427B11F9"/>
    <w:rsid w:val="5A245B12"/>
    <w:rsid w:val="5CAD20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3">
    <w:name w:val="heading 4"/>
    <w:basedOn w:val="1"/>
    <w:next w:val="1"/>
    <w:unhideWhenUsed/>
    <w:qFormat/>
    <w:locked/>
    <w:uiPriority w:val="0"/>
    <w:pPr>
      <w:keepNext/>
      <w:keepLines/>
      <w:spacing w:before="280" w:after="290" w:line="376" w:lineRule="auto"/>
      <w:outlineLvl w:val="3"/>
    </w:pPr>
    <w:rPr>
      <w:rFonts w:ascii="等线 Light" w:hAnsi="等线 Light" w:eastAsia="等线 Light"/>
      <w:b/>
      <w:bCs/>
      <w:sz w:val="28"/>
      <w:szCs w:val="28"/>
    </w:rPr>
  </w:style>
  <w:style w:type="character" w:default="1" w:styleId="11">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uiPriority w:val="99"/>
    <w:pPr>
      <w:adjustRightInd w:val="0"/>
      <w:spacing w:line="312" w:lineRule="atLeast"/>
      <w:jc w:val="right"/>
    </w:pPr>
  </w:style>
  <w:style w:type="paragraph" w:styleId="5">
    <w:name w:val="Body Text 3"/>
    <w:basedOn w:val="1"/>
    <w:unhideWhenUsed/>
    <w:uiPriority w:val="99"/>
    <w:pPr>
      <w:spacing w:after="120"/>
    </w:pPr>
    <w:rPr>
      <w:rFonts w:eastAsia="仿宋_GB2312"/>
      <w:sz w:val="16"/>
      <w:szCs w:val="16"/>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4"/>
    <w:semiHidden/>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批注框文本 Char"/>
    <w:link w:val="7"/>
    <w:semiHidden/>
    <w:qFormat/>
    <w:locked/>
    <w:uiPriority w:val="99"/>
    <w:rPr>
      <w:rFonts w:ascii="Times New Roman" w:hAnsi="Times New Roman" w:eastAsia="宋体" w:cs="Times New Roman"/>
      <w:sz w:val="18"/>
      <w:szCs w:val="18"/>
    </w:rPr>
  </w:style>
  <w:style w:type="character" w:customStyle="1" w:styleId="15">
    <w:name w:val="页脚 Char"/>
    <w:link w:val="8"/>
    <w:qFormat/>
    <w:locked/>
    <w:uiPriority w:val="99"/>
    <w:rPr>
      <w:rFonts w:ascii="Times New Roman" w:hAnsi="Times New Roman" w:eastAsia="宋体" w:cs="Times New Roman"/>
      <w:sz w:val="18"/>
      <w:szCs w:val="18"/>
    </w:rPr>
  </w:style>
  <w:style w:type="character" w:customStyle="1" w:styleId="16">
    <w:name w:val="页眉 Char"/>
    <w:link w:val="9"/>
    <w:qFormat/>
    <w:locked/>
    <w:uiPriority w:val="99"/>
    <w:rPr>
      <w:rFonts w:ascii="Calibri" w:hAnsi="Calibri" w:eastAsia="宋体" w:cs="Times New Roman"/>
      <w:sz w:val="18"/>
      <w:szCs w:val="18"/>
    </w:rPr>
  </w:style>
  <w:style w:type="character" w:customStyle="1" w:styleId="17">
    <w:name w:val="副标题 Char"/>
    <w:link w:val="10"/>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2022-07-13T02:21:47Z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