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0410-2020-Q-2022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凉山州良圆马铃薯种业有限责任公司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凉山州良圆马铃薯种业有限责任公司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西昌市安宁镇</w:t>
            </w:r>
            <w:bookmarkEnd w:id="6"/>
          </w:p>
        </w:tc>
        <w:tc>
          <w:tcPr>
            <w:tcW w:w="1242" w:type="dxa"/>
            <w:vMerge w:val="restart"/>
            <w:vAlign w:val="center"/>
          </w:tcPr>
          <w:p>
            <w:r>
              <w:rPr>
                <w:rFonts w:hint="eastAsia"/>
              </w:rPr>
              <w:t>邮编</w:t>
            </w:r>
          </w:p>
        </w:tc>
        <w:tc>
          <w:tcPr>
            <w:tcW w:w="1771" w:type="dxa"/>
          </w:tcPr>
          <w:p>
            <w:bookmarkStart w:id="7" w:name="注册邮编"/>
            <w:r>
              <w:t>615013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四川省凉山州西昌市安宁镇机场路133号</w:t>
            </w:r>
            <w:bookmarkEnd w:id="8"/>
          </w:p>
        </w:tc>
        <w:tc>
          <w:tcPr>
            <w:tcW w:w="1242" w:type="dxa"/>
            <w:vMerge w:val="continue"/>
            <w:vAlign w:val="center"/>
          </w:tcPr>
          <w:p/>
        </w:tc>
        <w:tc>
          <w:tcPr>
            <w:tcW w:w="1771" w:type="dxa"/>
          </w:tcPr>
          <w:p>
            <w:bookmarkStart w:id="9" w:name="办公邮编"/>
            <w:r>
              <w:t>615013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郭艳英</w:t>
            </w:r>
            <w:bookmarkEnd w:id="10"/>
          </w:p>
        </w:tc>
        <w:tc>
          <w:tcPr>
            <w:tcW w:w="1313" w:type="dxa"/>
            <w:vAlign w:val="center"/>
          </w:tcPr>
          <w:p>
            <w:r>
              <w:rPr>
                <w:rFonts w:hint="eastAsia"/>
              </w:rPr>
              <w:t>电话.</w:t>
            </w:r>
          </w:p>
        </w:tc>
        <w:tc>
          <w:tcPr>
            <w:tcW w:w="2180" w:type="dxa"/>
            <w:vAlign w:val="center"/>
          </w:tcPr>
          <w:p>
            <w:bookmarkStart w:id="11" w:name="联系人电话"/>
            <w:r>
              <w:t>18981510852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曾洪柱</w:t>
            </w:r>
            <w:bookmarkEnd w:id="13"/>
          </w:p>
        </w:tc>
        <w:tc>
          <w:tcPr>
            <w:tcW w:w="1313" w:type="dxa"/>
            <w:vAlign w:val="center"/>
          </w:tcPr>
          <w:p>
            <w:r>
              <w:rPr>
                <w:rFonts w:hint="eastAsia"/>
              </w:rPr>
              <w:t>管理者代表</w:t>
            </w:r>
          </w:p>
        </w:tc>
        <w:tc>
          <w:tcPr>
            <w:tcW w:w="2180" w:type="dxa"/>
          </w:tcPr>
          <w:p>
            <w:bookmarkStart w:id="14" w:name="管理者代表"/>
            <w:r>
              <w:t>张懋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rPr>
              <w:t>引种---试管苗扩繁---试管苗病毒检测--进入网室无土栽培--马铃薯原原种病毒检测--（入库）交付客户</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2022年06月30日 上午至2022年06月30日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四川省凉山州西昌市安宁镇机场路133号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许可范围内的马铃薯的种植和销售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01.01.03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2019年11月18日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2021年08月09日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31"/>
        <w:gridCol w:w="18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31" w:type="dxa"/>
            <w:shd w:val="clear" w:color="auto" w:fill="F3F3F3"/>
            <w:tcMar>
              <w:left w:w="57" w:type="dxa"/>
              <w:right w:w="57" w:type="dxa"/>
            </w:tcMar>
          </w:tcPr>
          <w:p>
            <w:r>
              <w:rPr>
                <w:rFonts w:hint="eastAsia"/>
              </w:rPr>
              <w:t>审核范围（产品和过程）</w:t>
            </w:r>
          </w:p>
          <w:p/>
          <w:p/>
        </w:tc>
        <w:tc>
          <w:tcPr>
            <w:tcW w:w="18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凉山州良圆马铃薯种业有限责任公司</w:t>
            </w:r>
            <w:r>
              <w:rPr>
                <w:rFonts w:hint="eastAsia" w:cs="Times New Roman" w:asciiTheme="minorEastAsia" w:hAnsiTheme="minorEastAsia" w:eastAsiaTheme="minorEastAsia"/>
                <w:sz w:val="20"/>
                <w:lang w:val="en-US" w:eastAsia="zh-CN"/>
              </w:rPr>
              <w:t>/</w:t>
            </w:r>
            <w:r>
              <w:rPr>
                <w:rFonts w:asciiTheme="minorEastAsia" w:hAnsiTheme="minorEastAsia" w:eastAsiaTheme="minorEastAsia"/>
                <w:sz w:val="20"/>
              </w:rPr>
              <w:t>西昌市安宁镇</w:t>
            </w:r>
          </w:p>
        </w:tc>
        <w:tc>
          <w:tcPr>
            <w:tcW w:w="2267" w:type="dxa"/>
          </w:tcPr>
          <w:p>
            <w:pPr>
              <w:rPr>
                <w:lang w:val="de-DE" w:eastAsia="ja-JP"/>
              </w:rPr>
            </w:pPr>
            <w:r>
              <w:rPr>
                <w:rFonts w:asciiTheme="minorEastAsia" w:hAnsiTheme="minorEastAsia" w:eastAsiaTheme="minorEastAsia"/>
                <w:sz w:val="20"/>
              </w:rPr>
              <w:t>四川省凉山州西昌市安宁镇机场路133号</w:t>
            </w:r>
          </w:p>
        </w:tc>
        <w:tc>
          <w:tcPr>
            <w:tcW w:w="571" w:type="dxa"/>
            <w:vAlign w:val="center"/>
          </w:tcPr>
          <w:p>
            <w:pPr>
              <w:rPr>
                <w:rFonts w:hint="default" w:eastAsia="宋体"/>
                <w:lang w:val="en-US" w:eastAsia="zh-CN"/>
              </w:rPr>
            </w:pPr>
            <w:r>
              <w:rPr>
                <w:rFonts w:hint="eastAsia"/>
                <w:highlight w:val="none"/>
                <w:lang w:val="en-US" w:eastAsia="zh-CN"/>
              </w:rPr>
              <w:t>23</w:t>
            </w:r>
          </w:p>
        </w:tc>
        <w:tc>
          <w:tcPr>
            <w:tcW w:w="1631" w:type="dxa"/>
            <w:vAlign w:val="center"/>
          </w:tcPr>
          <w:p>
            <w:pPr>
              <w:rPr>
                <w:lang w:eastAsia="ja-JP"/>
              </w:rPr>
            </w:pPr>
            <w:r>
              <w:rPr>
                <w:sz w:val="20"/>
              </w:rPr>
              <w:t>许可范围内的马铃薯的种植和销售</w:t>
            </w:r>
          </w:p>
        </w:tc>
        <w:tc>
          <w:tcPr>
            <w:tcW w:w="1841" w:type="dxa"/>
            <w:vAlign w:val="center"/>
          </w:tcPr>
          <w:p>
            <w:pPr>
              <w:rPr>
                <w:lang w:eastAsia="ja-JP"/>
              </w:rPr>
            </w:pPr>
            <w:r>
              <w:rPr>
                <w:rFonts w:hint="eastAsia"/>
                <w:lang w:eastAsia="ja-JP"/>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31"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31"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31"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31" w:type="dxa"/>
            <w:vAlign w:val="center"/>
          </w:tcPr>
          <w:p>
            <w:pPr>
              <w:rPr>
                <w:lang w:eastAsia="ja-JP"/>
              </w:rPr>
            </w:pPr>
          </w:p>
        </w:tc>
        <w:tc>
          <w:tcPr>
            <w:tcW w:w="184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陈光明</w:t>
            </w:r>
          </w:p>
        </w:tc>
        <w:tc>
          <w:tcPr>
            <w:tcW w:w="1089" w:type="dxa"/>
            <w:vAlign w:val="center"/>
          </w:tcPr>
          <w:p>
            <w:r>
              <w:t>组员</w:t>
            </w:r>
          </w:p>
        </w:tc>
        <w:tc>
          <w:tcPr>
            <w:tcW w:w="711" w:type="dxa"/>
            <w:vAlign w:val="center"/>
          </w:tcPr>
          <w:p>
            <w:r>
              <w:t>男</w:t>
            </w:r>
          </w:p>
        </w:tc>
        <w:tc>
          <w:tcPr>
            <w:tcW w:w="3870" w:type="dxa"/>
            <w:vAlign w:val="center"/>
          </w:tcPr>
          <w:p>
            <w:r>
              <w:t>ISC-JSZJ-137</w:t>
            </w:r>
          </w:p>
          <w:p>
            <w:r>
              <w:t>凉山农垦置业集团农业公司</w:t>
            </w:r>
          </w:p>
        </w:tc>
        <w:tc>
          <w:tcPr>
            <w:tcW w:w="2179" w:type="dxa"/>
            <w:vAlign w:val="center"/>
          </w:tcPr>
          <w:p>
            <w:r>
              <w:t>01.01.03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监督审核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上次不符合为生产部</w:t>
            </w:r>
            <w:r>
              <w:rPr>
                <w:rFonts w:hint="eastAsia"/>
                <w:lang w:val="en-US" w:eastAsia="zh-CN"/>
              </w:rPr>
              <w:t>8.5.1，本次审核无类似不符合发生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许可范围内的马铃薯的种植和销售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2336" behindDoc="0" locked="0" layoutInCell="1" allowOverlap="1">
                  <wp:simplePos x="0" y="0"/>
                  <wp:positionH relativeFrom="column">
                    <wp:posOffset>155575</wp:posOffset>
                  </wp:positionH>
                  <wp:positionV relativeFrom="paragraph">
                    <wp:posOffset>69850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2022.6.30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w:t>
            </w:r>
            <w:r>
              <w:rPr>
                <w:rFonts w:hint="eastAsia"/>
                <w:lang w:eastAsia="zh-CN"/>
              </w:rPr>
              <w:t>☑</w:t>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最高管理者制定了文件化的管理体系方针：质量第一、降本增效、精益求精、持续改进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产品交付合格率≥95%</w:t>
                  </w:r>
                </w:p>
              </w:tc>
              <w:tc>
                <w:tcPr>
                  <w:tcW w:w="3136" w:type="dxa"/>
                  <w:shd w:val="clear" w:color="auto" w:fill="auto"/>
                  <w:vAlign w:val="center"/>
                </w:tcPr>
                <w:p>
                  <w:pPr>
                    <w:shd w:val="clear" w:color="auto" w:fill="C7DAF1" w:themeFill="text2" w:themeFillTint="32"/>
                    <w:jc w:val="center"/>
                    <w:rPr>
                      <w:rFonts w:hint="eastAsia" w:ascii="宋体" w:hAnsi="宋体"/>
                      <w:highlight w:val="none"/>
                      <w:lang w:val="en-GB" w:eastAsia="zh-CN"/>
                    </w:rPr>
                  </w:pPr>
                  <w:r>
                    <w:rPr>
                      <w:rFonts w:hint="eastAsia" w:ascii="宋体" w:hAnsi="宋体"/>
                      <w:highlight w:val="none"/>
                      <w:lang w:val="en-US" w:eastAsia="zh-CN"/>
                    </w:rPr>
                    <w:t>产品交付合格率数/交付总数×100%</w:t>
                  </w:r>
                </w:p>
              </w:tc>
              <w:tc>
                <w:tcPr>
                  <w:tcW w:w="1350" w:type="dxa"/>
                  <w:shd w:val="clear" w:color="auto" w:fill="auto"/>
                  <w:vAlign w:val="center"/>
                </w:tcPr>
                <w:p>
                  <w:pPr>
                    <w:shd w:val="clear" w:color="auto" w:fill="C7DAF1" w:themeFill="text2" w:themeFillTint="32"/>
                    <w:jc w:val="center"/>
                    <w:rPr>
                      <w:rFonts w:hint="eastAsia" w:ascii="宋体" w:hAnsi="宋体"/>
                      <w:highlight w:val="none"/>
                      <w:lang w:val="en-GB" w:eastAsia="zh-CN"/>
                    </w:rPr>
                  </w:pPr>
                  <w:r>
                    <w:rPr>
                      <w:rFonts w:hint="eastAsia" w:ascii="宋体" w:hAnsi="宋体"/>
                      <w:highlight w:val="none"/>
                      <w:lang w:val="en-GB"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highlight w:val="none"/>
                      <w:lang w:val="en-GB"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顾客满意度≥95%</w:t>
                  </w:r>
                </w:p>
              </w:tc>
              <w:tc>
                <w:tcPr>
                  <w:tcW w:w="3136" w:type="dxa"/>
                  <w:shd w:val="clear" w:color="auto" w:fill="auto"/>
                  <w:vAlign w:val="center"/>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顾客满意度=∑n1+n2+n3+……+ni/n×100%</w:t>
                  </w:r>
                </w:p>
              </w:tc>
              <w:tc>
                <w:tcPr>
                  <w:tcW w:w="1350" w:type="dxa"/>
                  <w:shd w:val="clear" w:color="auto" w:fill="auto"/>
                  <w:vAlign w:val="center"/>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highlight w:val="none"/>
                      <w:lang w:val="en-US" w:eastAsia="zh-CN"/>
                    </w:rPr>
                  </w:pPr>
                  <w:r>
                    <w:rPr>
                      <w:rFonts w:hint="eastAsia" w:ascii="宋体" w:hAnsi="宋体"/>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产品交付履约率100%</w:t>
                  </w:r>
                </w:p>
              </w:tc>
              <w:tc>
                <w:tcPr>
                  <w:tcW w:w="3136" w:type="dxa"/>
                  <w:shd w:val="clear" w:color="auto" w:fill="auto"/>
                  <w:vAlign w:val="center"/>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产品交付及时数/交付总数×100%。合格</w:t>
                  </w:r>
                </w:p>
              </w:tc>
              <w:tc>
                <w:tcPr>
                  <w:tcW w:w="1350" w:type="dxa"/>
                  <w:shd w:val="clear" w:color="auto" w:fill="auto"/>
                  <w:vAlign w:val="center"/>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营销部</w:t>
                  </w:r>
                </w:p>
              </w:tc>
              <w:tc>
                <w:tcPr>
                  <w:tcW w:w="1774" w:type="dxa"/>
                  <w:shd w:val="clear" w:color="auto" w:fill="auto"/>
                  <w:vAlign w:val="center"/>
                </w:tcPr>
                <w:p>
                  <w:pPr>
                    <w:shd w:val="clear" w:color="auto" w:fill="C7DAF1" w:themeFill="text2" w:themeFillTint="32"/>
                    <w:jc w:val="center"/>
                    <w:rPr>
                      <w:rFonts w:hint="eastAsia" w:ascii="宋体" w:hAnsi="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ascii="宋体" w:hAnsi="宋体"/>
                      <w:highlight w:val="none"/>
                    </w:rPr>
                  </w:pPr>
                </w:p>
              </w:tc>
              <w:tc>
                <w:tcPr>
                  <w:tcW w:w="1350" w:type="dxa"/>
                  <w:shd w:val="clear" w:color="auto" w:fill="auto"/>
                  <w:vAlign w:val="center"/>
                </w:tcPr>
                <w:p>
                  <w:pPr>
                    <w:shd w:val="clear" w:color="auto" w:fill="C7DAF1" w:themeFill="text2" w:themeFillTint="32"/>
                    <w:rPr>
                      <w:rFonts w:ascii="宋体" w:hAnsi="宋体"/>
                      <w:highlight w:val="none"/>
                    </w:rPr>
                  </w:pPr>
                </w:p>
              </w:tc>
              <w:tc>
                <w:tcPr>
                  <w:tcW w:w="1774" w:type="dxa"/>
                  <w:shd w:val="clear" w:color="auto" w:fill="auto"/>
                  <w:vAlign w:val="center"/>
                </w:tcPr>
                <w:p>
                  <w:pPr>
                    <w:shd w:val="clear" w:color="auto" w:fill="C7DAF1" w:themeFill="text2" w:themeFillTint="32"/>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yellow"/>
                    </w:rPr>
                  </w:pPr>
                </w:p>
              </w:tc>
              <w:tc>
                <w:tcPr>
                  <w:tcW w:w="3136" w:type="dxa"/>
                  <w:shd w:val="clear" w:color="auto" w:fill="auto"/>
                  <w:vAlign w:val="center"/>
                </w:tcPr>
                <w:p>
                  <w:pPr>
                    <w:shd w:val="clear" w:color="auto" w:fill="C7DAF1" w:themeFill="text2" w:themeFillTint="32"/>
                    <w:rPr>
                      <w:rFonts w:ascii="宋体" w:hAnsi="宋体"/>
                      <w:highlight w:val="yellow"/>
                    </w:rPr>
                  </w:pPr>
                </w:p>
              </w:tc>
              <w:tc>
                <w:tcPr>
                  <w:tcW w:w="1350" w:type="dxa"/>
                  <w:shd w:val="clear" w:color="auto" w:fill="auto"/>
                  <w:vAlign w:val="center"/>
                </w:tcPr>
                <w:p>
                  <w:pPr>
                    <w:shd w:val="clear" w:color="auto" w:fill="C7DAF1" w:themeFill="text2" w:themeFillTint="32"/>
                    <w:rPr>
                      <w:rFonts w:ascii="宋体" w:hAnsi="宋体"/>
                      <w:highlight w:val="yellow"/>
                    </w:rPr>
                  </w:pPr>
                </w:p>
              </w:tc>
              <w:tc>
                <w:tcPr>
                  <w:tcW w:w="1774" w:type="dxa"/>
                  <w:shd w:val="clear" w:color="auto" w:fill="auto"/>
                  <w:vAlign w:val="center"/>
                </w:tcPr>
                <w:p>
                  <w:pPr>
                    <w:shd w:val="clear" w:color="auto" w:fill="C7DAF1" w:themeFill="text2" w:themeFillTint="32"/>
                    <w:jc w:val="center"/>
                    <w:rPr>
                      <w:rFonts w:ascii="宋体" w:hAnsi="宋体"/>
                      <w:highlight w:val="yellow"/>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建筑面积68000平米，生产车间46个，库房12个，实验室1个；</w:t>
            </w:r>
          </w:p>
          <w:p>
            <w:pPr>
              <w:shd w:val="clear" w:color="auto" w:fill="C7DAF1" w:themeFill="text2" w:themeFillTint="32"/>
              <w:rPr>
                <w:u w:val="single"/>
              </w:rPr>
            </w:pPr>
            <w:r>
              <w:rPr>
                <w:rFonts w:hint="eastAsia"/>
              </w:rPr>
              <w:t>主要生产设备有：</w:t>
            </w:r>
            <w:r>
              <w:rPr>
                <w:rFonts w:hint="eastAsia"/>
                <w:u w:val="single"/>
              </w:rPr>
              <w:t>（接种盘、培养皿、蒸汽灭菌器、网室、收薯机及种植工具（塑料筐、弯剪、镊子、铲子、喷雾器）等）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highlight w:val="none"/>
                <w:u w:val="single"/>
              </w:rPr>
              <w:t>（温湿度计、电子天平）</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：产品的委托检验</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许可范围内的马铃薯的种植和销售</w:t>
                  </w:r>
                </w:p>
              </w:tc>
              <w:tc>
                <w:tcPr>
                  <w:tcW w:w="3665" w:type="dxa"/>
                </w:tcPr>
                <w:p>
                  <w:pPr>
                    <w:shd w:val="clear" w:color="auto" w:fill="C7DAF1" w:themeFill="text2" w:themeFillTint="32"/>
                    <w:jc w:val="left"/>
                    <w:rPr>
                      <w:rFonts w:hint="eastAsia" w:eastAsia="宋体"/>
                      <w:lang w:eastAsia="zh-CN"/>
                    </w:rPr>
                  </w:pPr>
                  <w:r>
                    <w:rPr>
                      <w:rFonts w:hint="eastAsia"/>
                      <w:lang w:eastAsia="zh-CN"/>
                    </w:rPr>
                    <w:t>种植过程</w:t>
                  </w:r>
                </w:p>
              </w:tc>
              <w:tc>
                <w:tcPr>
                  <w:tcW w:w="3265" w:type="dxa"/>
                </w:tcPr>
                <w:p>
                  <w:pPr>
                    <w:shd w:val="clear" w:color="auto" w:fill="C7DAF1" w:themeFill="text2" w:themeFillTint="32"/>
                    <w:jc w:val="left"/>
                    <w:rPr>
                      <w:rFonts w:hint="eastAsia" w:eastAsia="宋体"/>
                      <w:lang w:eastAsia="zh-CN"/>
                    </w:rPr>
                  </w:pPr>
                  <w:r>
                    <w:rPr>
                      <w:rFonts w:hint="eastAsia"/>
                    </w:rPr>
                    <w:t>温度、湿度</w:t>
                  </w:r>
                  <w:r>
                    <w:rPr>
                      <w:rFonts w:hint="eastAsia"/>
                      <w:lang w:eastAsia="zh-CN"/>
                    </w:rPr>
                    <w:t>、肥水病虫害管理等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需要确认的过程：种植过程，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通过年度策划于2022年5月5日实施了质量管理体系内部审核，对质量管理体系的符合性和有效性进行了审核。内审发现的</w:t>
            </w:r>
            <w:r>
              <w:rPr>
                <w:rFonts w:hint="eastAsia"/>
                <w:highlight w:val="none"/>
                <w:lang w:val="en-US" w:eastAsia="zh-CN"/>
              </w:rPr>
              <w:t>1</w:t>
            </w:r>
            <w:r>
              <w:rPr>
                <w:rFonts w:hint="eastAsia"/>
                <w:highlight w:val="none"/>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highlight w:val="none"/>
              </w:rPr>
              <w:t>最高管理者已按策划的时间间隔，在2022年5月25日对组织的质量管理体系进行了评审，以确保其持续的适宜性、充分性和有效性；管理评审输入、输出均按要求提供。并对提出的改进措施进行了落实。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0</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0</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bookmarkStart w:id="34" w:name="_GoBack"/>
      <w:bookmarkEnd w:id="34"/>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3630182"/>
    <w:rsid w:val="038720C2"/>
    <w:rsid w:val="03AD6239"/>
    <w:rsid w:val="03F01866"/>
    <w:rsid w:val="04120ED3"/>
    <w:rsid w:val="091E40F1"/>
    <w:rsid w:val="0A2E22D2"/>
    <w:rsid w:val="0C577028"/>
    <w:rsid w:val="0DFC2FC7"/>
    <w:rsid w:val="10897BD2"/>
    <w:rsid w:val="114F1320"/>
    <w:rsid w:val="11BA6F46"/>
    <w:rsid w:val="1221266C"/>
    <w:rsid w:val="1367145D"/>
    <w:rsid w:val="151827E2"/>
    <w:rsid w:val="155A400D"/>
    <w:rsid w:val="187C3D68"/>
    <w:rsid w:val="1DD137B6"/>
    <w:rsid w:val="2052286C"/>
    <w:rsid w:val="21584C46"/>
    <w:rsid w:val="2238734A"/>
    <w:rsid w:val="252E6212"/>
    <w:rsid w:val="26603243"/>
    <w:rsid w:val="27B65DA8"/>
    <w:rsid w:val="27B73FB8"/>
    <w:rsid w:val="287136A7"/>
    <w:rsid w:val="28F263D7"/>
    <w:rsid w:val="2B0D781D"/>
    <w:rsid w:val="2B3A1F9C"/>
    <w:rsid w:val="2CF37DC3"/>
    <w:rsid w:val="2D3E30F7"/>
    <w:rsid w:val="2E932FE8"/>
    <w:rsid w:val="2F9852D6"/>
    <w:rsid w:val="304214E4"/>
    <w:rsid w:val="30FC6801"/>
    <w:rsid w:val="34192975"/>
    <w:rsid w:val="35E52BF1"/>
    <w:rsid w:val="37EA0AA2"/>
    <w:rsid w:val="39791C15"/>
    <w:rsid w:val="3F7B3080"/>
    <w:rsid w:val="40171C89"/>
    <w:rsid w:val="423B584A"/>
    <w:rsid w:val="46681373"/>
    <w:rsid w:val="47FC208C"/>
    <w:rsid w:val="4BF76504"/>
    <w:rsid w:val="4C3E79F9"/>
    <w:rsid w:val="4E383CD0"/>
    <w:rsid w:val="4E63755E"/>
    <w:rsid w:val="4EEA2787"/>
    <w:rsid w:val="4F8340AA"/>
    <w:rsid w:val="5166564C"/>
    <w:rsid w:val="51C95BBB"/>
    <w:rsid w:val="52687572"/>
    <w:rsid w:val="54D4021D"/>
    <w:rsid w:val="57D45CF1"/>
    <w:rsid w:val="57EC3F49"/>
    <w:rsid w:val="586048B7"/>
    <w:rsid w:val="5A3F3358"/>
    <w:rsid w:val="5BDF6F15"/>
    <w:rsid w:val="5C847AAE"/>
    <w:rsid w:val="5DBC43AE"/>
    <w:rsid w:val="5DC42740"/>
    <w:rsid w:val="5EE93E95"/>
    <w:rsid w:val="5F6244B3"/>
    <w:rsid w:val="5F6D12E1"/>
    <w:rsid w:val="5FE727A3"/>
    <w:rsid w:val="5FEA46EB"/>
    <w:rsid w:val="602171E3"/>
    <w:rsid w:val="609516A1"/>
    <w:rsid w:val="60D46A3E"/>
    <w:rsid w:val="60F6689E"/>
    <w:rsid w:val="61080AAF"/>
    <w:rsid w:val="62C70A69"/>
    <w:rsid w:val="65AB4E9E"/>
    <w:rsid w:val="698614C8"/>
    <w:rsid w:val="6C2246DA"/>
    <w:rsid w:val="6C4F4B3E"/>
    <w:rsid w:val="6D212753"/>
    <w:rsid w:val="6DBE13EF"/>
    <w:rsid w:val="6F4B1FB9"/>
    <w:rsid w:val="6FC534F5"/>
    <w:rsid w:val="6FDD14C9"/>
    <w:rsid w:val="706A52E7"/>
    <w:rsid w:val="70E77189"/>
    <w:rsid w:val="711205DD"/>
    <w:rsid w:val="72B26846"/>
    <w:rsid w:val="74652CFF"/>
    <w:rsid w:val="77217EB7"/>
    <w:rsid w:val="776C75B1"/>
    <w:rsid w:val="77A17922"/>
    <w:rsid w:val="78D223DB"/>
    <w:rsid w:val="7CBE4AD3"/>
    <w:rsid w:val="7CC53CB0"/>
    <w:rsid w:val="7D050953"/>
    <w:rsid w:val="7E9755DB"/>
    <w:rsid w:val="7EC93B4A"/>
    <w:rsid w:val="7F0B2749"/>
    <w:rsid w:val="7F9C0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2022-07-08T14:45:54Z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