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58"/>
        <w:gridCol w:w="1175"/>
        <w:gridCol w:w="870"/>
        <w:gridCol w:w="1924"/>
        <w:gridCol w:w="190"/>
        <w:gridCol w:w="1056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重庆永联达涂装工程股份有限公司</w:t>
            </w:r>
          </w:p>
        </w:tc>
        <w:tc>
          <w:tcPr>
            <w:tcW w:w="124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5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资质范围内防水防腐保温工程专业承包、建筑装修装饰工程专业承包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82550</wp:posOffset>
                  </wp:positionV>
                  <wp:extent cx="747395" cy="365760"/>
                  <wp:effectExtent l="0" t="0" r="1905" b="2540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B0F0"/>
              </w:rPr>
            </w:pPr>
            <w:r>
              <w:rPr>
                <w:rFonts w:hint="eastAsia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订合同—组建项目部—编制施工组织设计—组织施工—过程检验—分部分项验收—验收。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固废排放、噪声排放、粉尘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排放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潜在</w:t>
            </w:r>
            <w:r>
              <w:rPr>
                <w:rFonts w:hint="eastAsia" w:ascii="宋体" w:hAnsi="宋体" w:cs="宋体"/>
                <w:sz w:val="21"/>
                <w:szCs w:val="21"/>
              </w:rPr>
              <w:t>火灾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资源能源消耗；通过管理方案、运行控制程序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中华人民共和国固体废物污染环境防治法》、《中华人民共和国环境噪声污染防治法》、《中华人民共和国清洁生产促进法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1"/>
                <w:szCs w:val="21"/>
              </w:rPr>
              <w:t>中华人民共和国节约能源法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201930</wp:posOffset>
                  </wp:positionV>
                  <wp:extent cx="336550" cy="367030"/>
                  <wp:effectExtent l="0" t="0" r="6350" b="1270"/>
                  <wp:wrapNone/>
                  <wp:docPr id="1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2022年06月30日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170180</wp:posOffset>
                  </wp:positionV>
                  <wp:extent cx="336550" cy="367030"/>
                  <wp:effectExtent l="0" t="0" r="6350" b="1270"/>
                  <wp:wrapNone/>
                  <wp:docPr id="1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2022年06月30日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18"/>
        <w:gridCol w:w="1115"/>
        <w:gridCol w:w="870"/>
        <w:gridCol w:w="1924"/>
        <w:gridCol w:w="190"/>
        <w:gridCol w:w="1226"/>
        <w:gridCol w:w="16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重庆永联达涂装工程股份有限公司</w:t>
            </w:r>
            <w:bookmarkEnd w:id="0"/>
          </w:p>
        </w:tc>
        <w:tc>
          <w:tcPr>
            <w:tcW w:w="141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8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28.08.01;28.08.02;28.08.03;28.08.04;28.08.05;28.09.02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专业</w:t>
            </w: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资质范围内防水防腐保温工程专业承包、建筑装修装饰工程专业承包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134620</wp:posOffset>
                  </wp:positionV>
                  <wp:extent cx="747395" cy="365760"/>
                  <wp:effectExtent l="0" t="0" r="1905" b="2540"/>
                  <wp:wrapNone/>
                  <wp:docPr id="3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生产/服务流程图：</w:t>
            </w:r>
          </w:p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订合同—组建项目部—编制施工组织设计—组织施工—过程检验—分部分项验收—验收。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0"/>
                <w:highlight w:val="none"/>
              </w:rPr>
              <w:t>高处坠落、起重伤害、物体打击、机械伤害、触电、中暑、火灾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/灼伤</w:t>
            </w:r>
            <w:r>
              <w:rPr>
                <w:rFonts w:hint="eastAsia"/>
                <w:sz w:val="20"/>
                <w:highlight w:val="none"/>
              </w:rPr>
              <w:t>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职业病（粉尘）</w:t>
            </w:r>
            <w:r>
              <w:rPr>
                <w:rFonts w:hint="eastAsia"/>
                <w:sz w:val="20"/>
                <w:highlight w:val="none"/>
              </w:rPr>
              <w:t>；管理方案、运行控制程序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中华人民共和国消防法、中华人民共和国安全生产法、中华人民共和国劳动法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中华人民共和国职业病防治法、中华人民共和国突发事件应对法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安全生产培训管理办法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重庆市安全生产条例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pacing w:val="10"/>
                <w:sz w:val="21"/>
                <w:szCs w:val="21"/>
                <w:lang w:val="en-GB"/>
              </w:rPr>
              <w:t>重庆市消防条例等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201930</wp:posOffset>
                  </wp:positionV>
                  <wp:extent cx="336550" cy="367030"/>
                  <wp:effectExtent l="0" t="0" r="6350" b="1270"/>
                  <wp:wrapNone/>
                  <wp:docPr id="6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2022年06月30日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170180</wp:posOffset>
                  </wp:positionV>
                  <wp:extent cx="336550" cy="367030"/>
                  <wp:effectExtent l="0" t="0" r="6350" b="1270"/>
                  <wp:wrapNone/>
                  <wp:docPr id="7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2022年06月30日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20:00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67546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2022-06-28T02:07:24Z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