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0822-2022-EO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江西博莱大药厂有限公司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2022年07月04日 上午至2022年07月04日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2021-N1EMS-3068076</w:t>
            </w:r>
          </w:p>
          <w:p>
            <w:pPr>
              <w:spacing w:line="240" w:lineRule="exact"/>
              <w:jc w:val="center"/>
              <w:rPr>
                <w:b/>
                <w:color w:val="000000"/>
                <w:szCs w:val="21"/>
              </w:rPr>
            </w:pPr>
            <w:r>
              <w:rPr>
                <w:b/>
                <w:color w:val="000000"/>
                <w:szCs w:val="21"/>
              </w:rPr>
              <w:t>2019-N1OHSMS-2068076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肖兴丽</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ISC-JSZJ-323</w:t>
            </w:r>
          </w:p>
          <w:p>
            <w:pPr>
              <w:spacing w:line="240" w:lineRule="exact"/>
              <w:jc w:val="center"/>
              <w:rPr>
                <w:b/>
                <w:color w:val="000000"/>
                <w:szCs w:val="21"/>
              </w:rPr>
            </w:pPr>
            <w:r>
              <w:rPr>
                <w:b/>
                <w:color w:val="000000"/>
                <w:szCs w:val="21"/>
              </w:rPr>
              <w:t>ISC-JSZJ-323</w:t>
            </w:r>
          </w:p>
          <w:p>
            <w:pPr>
              <w:spacing w:line="240" w:lineRule="exact"/>
              <w:jc w:val="center"/>
              <w:rPr>
                <w:b/>
                <w:color w:val="000000"/>
                <w:szCs w:val="21"/>
              </w:rPr>
            </w:pPr>
            <w:r>
              <w:rPr>
                <w:b/>
                <w:color w:val="000000"/>
                <w:szCs w:val="21"/>
              </w:rPr>
              <w:t>九江博美莱生物制品有限公司</w:t>
            </w:r>
          </w:p>
        </w:tc>
        <w:tc>
          <w:tcPr>
            <w:tcW w:w="1140" w:type="dxa"/>
            <w:vAlign w:val="center"/>
          </w:tcPr>
          <w:p>
            <w:pPr>
              <w:spacing w:line="240" w:lineRule="exact"/>
              <w:jc w:val="center"/>
              <w:rPr>
                <w:b/>
                <w:color w:val="000000"/>
                <w:szCs w:val="21"/>
              </w:rPr>
            </w:pPr>
            <w:r>
              <w:rPr>
                <w:b/>
                <w:color w:val="000000"/>
                <w:szCs w:val="21"/>
              </w:rPr>
              <w:t>E:13.02.00</w:t>
            </w:r>
          </w:p>
          <w:p>
            <w:pPr>
              <w:spacing w:line="240" w:lineRule="exact"/>
              <w:jc w:val="center"/>
              <w:rPr>
                <w:b/>
                <w:color w:val="000000"/>
                <w:szCs w:val="21"/>
              </w:rPr>
            </w:pPr>
            <w:r>
              <w:rPr>
                <w:b/>
                <w:color w:val="000000"/>
                <w:szCs w:val="21"/>
              </w:rPr>
              <w:t>O:13.02.00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江西博莱大药厂有限公司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江西省九江市柴桑区庐山东路12号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332001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江西省九江市柴桑区庐山东路12号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332001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何小丽</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15879218051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唐进波</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肖欣戈</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宋体" w:hAnsi="宋体"/>
                <w:b/>
                <w:color w:val="000000"/>
                <w:szCs w:val="21"/>
              </w:rPr>
              <w:t>资质范围内的兽药生产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adjustRightInd w:val="0"/>
              <w:snapToGrid w:val="0"/>
              <w:spacing w:line="360" w:lineRule="auto"/>
              <w:ind w:right="105" w:rightChars="50" w:firstLine="396" w:firstLineChars="200"/>
              <w:textAlignment w:val="baseline"/>
              <w:rPr>
                <w:rFonts w:hint="eastAsia" w:eastAsia="宋体"/>
                <w:b/>
                <w:sz w:val="21"/>
                <w:szCs w:val="21"/>
                <w:highlight w:val="none"/>
                <w:lang w:eastAsia="zh-CN"/>
              </w:rPr>
            </w:pPr>
            <w:r>
              <w:rPr>
                <w:rFonts w:hint="eastAsia" w:ascii="宋体" w:hAnsi="宋体" w:cs="Arial"/>
                <w:spacing w:val="-6"/>
                <w:sz w:val="21"/>
                <w:szCs w:val="21"/>
                <w:highlight w:val="none"/>
                <w:lang w:val="en-US" w:eastAsia="zh-CN"/>
              </w:rPr>
              <w:t>水剂：制水/备瓶/配药——检验/化验——罐装——检验/化验——封装/包装</w:t>
            </w:r>
          </w:p>
          <w:p>
            <w:pPr>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粉剂：原材料——过筛——混合——检验——分装——检验——包装</w:t>
            </w:r>
          </w:p>
          <w:p>
            <w:pPr>
              <w:adjustRightInd w:val="0"/>
              <w:snapToGrid w:val="0"/>
              <w:spacing w:line="360" w:lineRule="auto"/>
              <w:ind w:right="105" w:rightChars="50" w:firstLine="396" w:firstLineChars="200"/>
              <w:textAlignment w:val="baseline"/>
              <w:rPr>
                <w:rFonts w:ascii="宋体"/>
                <w:color w:val="000000"/>
                <w:szCs w:val="21"/>
              </w:rPr>
            </w:pPr>
            <w:r>
              <w:rPr>
                <w:rFonts w:hint="eastAsia" w:ascii="宋体" w:hAnsi="宋体" w:cs="Arial"/>
                <w:spacing w:val="-6"/>
                <w:sz w:val="21"/>
                <w:szCs w:val="21"/>
                <w:highlight w:val="none"/>
                <w:lang w:val="en-US" w:eastAsia="zh-CN"/>
              </w:rPr>
              <w:t>关键过程为：</w:t>
            </w:r>
            <w:r>
              <w:rPr>
                <w:rFonts w:hint="default" w:ascii="宋体" w:hAnsi="宋体" w:cs="Arial"/>
                <w:spacing w:val="-6"/>
                <w:sz w:val="21"/>
                <w:szCs w:val="21"/>
                <w:highlight w:val="none"/>
                <w:lang w:val="en-US" w:eastAsia="zh-CN"/>
              </w:rPr>
              <w:t>配药</w:t>
            </w:r>
            <w:r>
              <w:rPr>
                <w:rFonts w:hint="eastAsia" w:ascii="宋体" w:hAnsi="宋体" w:cs="Arial"/>
                <w:spacing w:val="-6"/>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资质范围内的兽药生产所涉及场所的相关环境管理活动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资质范围内的兽药生产所涉及场所的相关职业健康安全管理活动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spacing w:before="40" w:after="40"/>
        <w:rPr>
          <w:rFonts w:eastAsia="黑体"/>
          <w:szCs w:val="21"/>
          <w:lang w:eastAsia="ja-JP"/>
        </w:rPr>
      </w:pPr>
    </w:p>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江西博莱大药厂有限公司</w:t>
            </w:r>
          </w:p>
          <w:p>
            <w:pPr>
              <w:spacing w:before="40" w:after="40"/>
              <w:rPr>
                <w:rFonts w:hint="eastAsia" w:eastAsia="黑体"/>
                <w:szCs w:val="21"/>
                <w:lang w:val="de-DE" w:eastAsia="ja-JP"/>
              </w:rPr>
            </w:pPr>
            <w:r>
              <w:rPr>
                <w:rFonts w:hint="eastAsia" w:eastAsia="黑体"/>
                <w:szCs w:val="21"/>
                <w:lang w:val="de-DE" w:eastAsia="ja-JP"/>
              </w:rPr>
              <w:t>江西省九江市柴桑区庐山东路12号</w:t>
            </w:r>
          </w:p>
        </w:tc>
        <w:tc>
          <w:tcPr>
            <w:tcW w:w="2267" w:type="dxa"/>
          </w:tcPr>
          <w:p>
            <w:pPr>
              <w:spacing w:before="40" w:after="40"/>
              <w:rPr>
                <w:rFonts w:eastAsia="黑体"/>
                <w:szCs w:val="21"/>
                <w:lang w:val="de-DE" w:eastAsia="ja-JP"/>
              </w:rPr>
            </w:pPr>
            <w:r>
              <w:rPr>
                <w:rFonts w:hint="eastAsia" w:eastAsia="黑体"/>
                <w:szCs w:val="21"/>
                <w:lang w:val="de-DE" w:eastAsia="ja-JP"/>
              </w:rPr>
              <w:t>江西省九江市柴桑区庐山东路12号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120</w:t>
            </w:r>
          </w:p>
        </w:tc>
        <w:tc>
          <w:tcPr>
            <w:tcW w:w="2803" w:type="dxa"/>
            <w:vAlign w:val="center"/>
          </w:tcPr>
          <w:p>
            <w:pPr>
              <w:pStyle w:val="20"/>
              <w:rPr>
                <w:rFonts w:eastAsia="黑体" w:cs="Arial"/>
                <w:sz w:val="21"/>
                <w:szCs w:val="21"/>
                <w:lang w:val="en-US" w:eastAsia="ja-JP"/>
              </w:rPr>
            </w:pPr>
            <w:r>
              <w:rPr>
                <w:rFonts w:hint="eastAsia" w:eastAsia="黑体" w:cs="Arial"/>
                <w:sz w:val="21"/>
                <w:szCs w:val="21"/>
                <w:lang w:val="en-US" w:eastAsia="ja-JP"/>
              </w:rPr>
              <w:t>资质范围内的兽药生产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EO</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于2022年01月10日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2022年5月10日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2022年5月25日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r>
              <w:rPr>
                <w:rFonts w:hint="eastAsia" w:ascii="宋体" w:hAnsi="宋体"/>
                <w:b w:val="0"/>
                <w:bCs/>
                <w:color w:val="000000"/>
                <w:szCs w:val="21"/>
                <w:lang w:eastAsia="zh-CN"/>
              </w:rPr>
              <w:t>提供：江西九江沙城工业园区管理委员会出具的“江西省九江市柴桑区庐山东路12号与江西省九江市柴桑区庐山东路</w:t>
            </w:r>
            <w:r>
              <w:rPr>
                <w:rFonts w:hint="eastAsia" w:ascii="宋体" w:hAnsi="宋体"/>
                <w:b w:val="0"/>
                <w:bCs/>
                <w:color w:val="000000"/>
                <w:szCs w:val="21"/>
                <w:lang w:val="en-US" w:eastAsia="zh-CN"/>
              </w:rPr>
              <w:t>180</w:t>
            </w:r>
            <w:r>
              <w:rPr>
                <w:rFonts w:hint="eastAsia" w:ascii="宋体" w:hAnsi="宋体"/>
                <w:b w:val="0"/>
                <w:bCs/>
                <w:color w:val="000000"/>
                <w:szCs w:val="21"/>
                <w:lang w:eastAsia="zh-CN"/>
              </w:rPr>
              <w:t>号为同一地址”的证明。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75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7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9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257"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49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257"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9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257"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93" w:type="dxa"/>
          </w:tcPr>
          <w:p>
            <w:pPr>
              <w:widowControl/>
              <w:jc w:val="left"/>
              <w:rPr>
                <w:rFonts w:ascii="宋体" w:hAnsi="宋体"/>
                <w:b/>
                <w:color w:val="000000"/>
                <w:szCs w:val="21"/>
              </w:rPr>
            </w:pPr>
            <w:r>
              <w:rPr>
                <w:rFonts w:hint="eastAsia" w:ascii="宋体"/>
                <w:b/>
                <w:color w:val="000000"/>
                <w:szCs w:val="21"/>
              </w:rPr>
              <w:t>二阶段审核日期安排</w:t>
            </w:r>
          </w:p>
        </w:tc>
        <w:tc>
          <w:tcPr>
            <w:tcW w:w="7257"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2022-07-0</w:t>
            </w:r>
            <w:bookmarkEnd w:id="35"/>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972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6"/>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6"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6"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6"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1663065</wp:posOffset>
            </wp:positionH>
            <wp:positionV relativeFrom="paragraph">
              <wp:posOffset>311785</wp:posOffset>
            </wp:positionV>
            <wp:extent cx="935355" cy="563880"/>
            <wp:effectExtent l="0" t="0" r="17145" b="7620"/>
            <wp:wrapNone/>
            <wp:docPr id="5"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35355" cy="563880"/>
                    </a:xfrm>
                    <a:prstGeom prst="rect">
                      <a:avLst/>
                    </a:prstGeom>
                    <a:noFill/>
                    <a:ln>
                      <a:noFill/>
                    </a:ln>
                  </pic:spPr>
                </pic:pic>
              </a:graphicData>
            </a:graphic>
          </wp:anchor>
        </w:drawing>
      </w:r>
      <w:r>
        <w:rPr>
          <w:rFonts w:hint="eastAsia"/>
        </w:rPr>
        <w:drawing>
          <wp:anchor distT="0" distB="0" distL="114300" distR="114300" simplePos="0" relativeHeight="251662336" behindDoc="0" locked="0" layoutInCell="1" allowOverlap="1">
            <wp:simplePos x="0" y="0"/>
            <wp:positionH relativeFrom="column">
              <wp:posOffset>4736465</wp:posOffset>
            </wp:positionH>
            <wp:positionV relativeFrom="paragraph">
              <wp:posOffset>276860</wp:posOffset>
            </wp:positionV>
            <wp:extent cx="1097280" cy="551180"/>
            <wp:effectExtent l="0" t="0" r="7620" b="1270"/>
            <wp:wrapNone/>
            <wp:docPr id="6" name="图片 6" descr="肖兴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肖兴丽"/>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097280" cy="55118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3853180</wp:posOffset>
            </wp:positionH>
            <wp:positionV relativeFrom="paragraph">
              <wp:posOffset>322580</wp:posOffset>
            </wp:positionV>
            <wp:extent cx="803910" cy="671830"/>
            <wp:effectExtent l="0" t="0" r="15240" b="13970"/>
            <wp:wrapNone/>
            <wp:docPr id="7" name="图片 7" descr="912425c8839ab94a6dd9ad997a32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12425c8839ab94a6dd9ad997a32964"/>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803910" cy="67183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2022.7.4</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bookmarkStart w:id="36" w:name="_GoBack"/>
      <w:r>
        <w:rPr>
          <w:rFonts w:hint="eastAsia" w:eastAsia="隶书"/>
          <w:color w:val="000000"/>
          <w:sz w:val="21"/>
          <w:szCs w:val="21"/>
          <w:lang w:eastAsia="zh-CN"/>
        </w:rPr>
        <w:drawing>
          <wp:anchor distT="0" distB="0" distL="114300" distR="114300" simplePos="0" relativeHeight="251666432" behindDoc="0" locked="0" layoutInCell="1" allowOverlap="1">
            <wp:simplePos x="0" y="0"/>
            <wp:positionH relativeFrom="column">
              <wp:posOffset>-683895</wp:posOffset>
            </wp:positionH>
            <wp:positionV relativeFrom="paragraph">
              <wp:posOffset>-977265</wp:posOffset>
            </wp:positionV>
            <wp:extent cx="7535545" cy="10643870"/>
            <wp:effectExtent l="0" t="0" r="8255" b="5080"/>
            <wp:wrapNone/>
            <wp:docPr id="2" name="图片 2" descr="DOC001_页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OC001_页面_01"/>
                    <pic:cNvPicPr>
                      <a:picLocks noChangeAspect="1"/>
                    </pic:cNvPicPr>
                  </pic:nvPicPr>
                  <pic:blipFill>
                    <a:blip r:embed="rId9"/>
                    <a:stretch>
                      <a:fillRect/>
                    </a:stretch>
                  </pic:blipFill>
                  <pic:spPr>
                    <a:xfrm>
                      <a:off x="0" y="0"/>
                      <a:ext cx="7535545" cy="10643870"/>
                    </a:xfrm>
                    <a:prstGeom prst="rect">
                      <a:avLst/>
                    </a:prstGeom>
                  </pic:spPr>
                </pic:pic>
              </a:graphicData>
            </a:graphic>
          </wp:anchor>
        </w:drawing>
      </w:r>
      <w:bookmarkEnd w:id="36"/>
      <w:r>
        <w:rPr>
          <w:rFonts w:hint="eastAsia" w:eastAsia="隶书"/>
          <w:color w:val="000000"/>
          <w:szCs w:val="21"/>
        </w:rPr>
        <w:t>附</w:t>
      </w:r>
    </w:p>
    <w:p>
      <w:pPr>
        <w:pStyle w:val="7"/>
        <w:pBdr>
          <w:bottom w:val="none" w:color="auto" w:sz="0" w:space="0"/>
        </w:pBdr>
        <w:ind w:right="600" w:firstLine="660"/>
        <w:rPr>
          <w:rFonts w:hint="eastAsia" w:eastAsia="隶书"/>
          <w:color w:val="000000"/>
          <w:sz w:val="21"/>
          <w:szCs w:val="21"/>
          <w:lang w:eastAsia="zh-CN"/>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管理手册中引用的标准均为ISO标准，应该是使用GB/T标准。</w:t>
            </w:r>
          </w:p>
        </w:tc>
        <w:tc>
          <w:tcPr>
            <w:tcW w:w="922"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EO</w:t>
            </w: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drawing>
                <wp:anchor distT="0" distB="0" distL="114300" distR="114300" simplePos="0" relativeHeight="251664384" behindDoc="0" locked="0" layoutInCell="1" allowOverlap="1">
                  <wp:simplePos x="0" y="0"/>
                  <wp:positionH relativeFrom="column">
                    <wp:posOffset>607060</wp:posOffset>
                  </wp:positionH>
                  <wp:positionV relativeFrom="paragraph">
                    <wp:posOffset>182880</wp:posOffset>
                  </wp:positionV>
                  <wp:extent cx="745490" cy="449580"/>
                  <wp:effectExtent l="0" t="0" r="16510" b="7620"/>
                  <wp:wrapNone/>
                  <wp:docPr id="8"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45490" cy="44958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rFonts w:hint="eastAsia"/>
                <w:b/>
                <w:color w:val="000000"/>
                <w:szCs w:val="21"/>
                <w:lang w:val="en-US" w:eastAsia="zh-CN"/>
              </w:rPr>
            </w:pPr>
            <w:r>
              <w:rPr>
                <w:rFonts w:hint="eastAsia"/>
                <w:b/>
                <w:color w:val="000000"/>
                <w:szCs w:val="21"/>
                <w:lang w:val="en-US" w:eastAsia="zh-CN"/>
              </w:rPr>
              <w:t xml:space="preserve"> </w:t>
            </w:r>
          </w:p>
          <w:p>
            <w:pPr>
              <w:spacing w:line="280" w:lineRule="exact"/>
              <w:rPr>
                <w:rFonts w:hint="eastAsia"/>
                <w:b/>
                <w:color w:val="000000"/>
                <w:szCs w:val="21"/>
                <w:lang w:val="en-US" w:eastAsia="zh-CN"/>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drawing>
                <wp:anchor distT="0" distB="0" distL="114300" distR="114300" simplePos="0" relativeHeight="251665408" behindDoc="0" locked="0" layoutInCell="1" allowOverlap="1">
                  <wp:simplePos x="0" y="0"/>
                  <wp:positionH relativeFrom="column">
                    <wp:posOffset>490855</wp:posOffset>
                  </wp:positionH>
                  <wp:positionV relativeFrom="paragraph">
                    <wp:posOffset>62230</wp:posOffset>
                  </wp:positionV>
                  <wp:extent cx="745490" cy="449580"/>
                  <wp:effectExtent l="0" t="0" r="16510" b="7620"/>
                  <wp:wrapNone/>
                  <wp:docPr id="1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45490" cy="44958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E5NTRmZWE1ODkyMzI3NzUzMjUzZWZjMTFlMDk4OTYifQ=="/>
  </w:docVars>
  <w:rsids>
    <w:rsidRoot w:val="00000000"/>
    <w:rsid w:val="15C534B5"/>
    <w:rsid w:val="390429D5"/>
    <w:rsid w:val="467F5692"/>
    <w:rsid w:val="53E334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7588</Words>
  <Characters>8326</Characters>
  <Lines>67</Lines>
  <Paragraphs>18</Paragraphs>
  <TotalTime>1</TotalTime>
  <ScaleCrop>false</ScaleCrop>
  <LinksUpToDate>false</LinksUpToDate>
  <CharactersWithSpaces>8391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2022-07-09T03:42:06Z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