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沧州巨运管道制造有限公司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河北省沧州市孟村回族自治县高寨镇李店子村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河北省沧州市孟村回族自治县高寨镇李店子村/河北双鼎公司院内(孟村回族自治县高寨镇杨寨村)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尹振江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18232781888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18232781888@163.com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0327-2021-Q-2022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防腐保温管道和管件的加工销售；管材、法兰及管道配件的销售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17.02.00;29.11.04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2022年06月29日 上午至2022年06月29日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