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-380365</wp:posOffset>
            </wp:positionH>
            <wp:positionV relativeFrom="paragraph">
              <wp:posOffset>-868045</wp:posOffset>
            </wp:positionV>
            <wp:extent cx="6874510" cy="8947150"/>
            <wp:effectExtent l="0" t="0" r="8890" b="6350"/>
            <wp:wrapNone/>
            <wp:docPr id="1" name="图片 1" descr="微信图片_202207211017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72110172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4510" cy="894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河北鹏易管道装备制造有限公司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17.02.00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田玉发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17.02.00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锻制管件：锻坯→机加工→检验→入库。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有缝管件：备料→下料→成型→焊接→组装→检验→入库；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法兰： 锻坯→机加工→钻孔→去毛刺→检验→入库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rFonts w:hint="default" w:ascii="宋体" w:hAnsi="宋体" w:eastAsia="楷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关键过程：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机加工，根据图纸控制精度。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特殊过程：焊接工序，通过特殊过程特殊过程确认记录进行控制。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GB/T12459-2005《钢制对焊无缝管件》、GB/T13401-2005《钢板制对焊管件》、HG/T20592-2009《钢制法兰》、《GB/T14383-2008 锻制承插焊和螺纹管件》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外观尺寸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、硬度等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，无需型式试验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1343FA0"/>
    <w:rsid w:val="100A4AD7"/>
    <w:rsid w:val="1F154823"/>
    <w:rsid w:val="35495942"/>
    <w:rsid w:val="579C5AA2"/>
    <w:rsid w:val="5B3B2DFD"/>
    <w:rsid w:val="5BBB508A"/>
    <w:rsid w:val="68534F56"/>
    <w:rsid w:val="73F679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351</Words>
  <Characters>423</Characters>
  <Lines>2</Lines>
  <Paragraphs>1</Paragraphs>
  <TotalTime>7</TotalTime>
  <ScaleCrop>false</ScaleCrop>
  <LinksUpToDate>false</LinksUpToDate>
  <CharactersWithSpaces>426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强子</cp:lastModifiedBy>
  <dcterms:modified xsi:type="dcterms:W3CDTF">2022-07-21T02:22:31Z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