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9"/>
        <w:gridCol w:w="449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河北泓林餐饮管理有限公司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正定县塔元庄村村西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经营地址：河北省石家庄市桥西区新华西路209号-1号河北联邦国际学校第二餐厅三楼食堂/办公地址：正定县正定镇车站北街168号A6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13073117821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李强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  <w:r>
              <w:rPr>
                <w:sz w:val="21"/>
                <w:szCs w:val="21"/>
              </w:rPr>
              <w:t>13073117821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779538781@qq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sz w:val="21"/>
                <w:szCs w:val="21"/>
              </w:rPr>
              <w:t>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0520-2022-FH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>智能手机  □台式电脑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H：位于河北省石家庄市桥西区新华西路 209 号-1 号河北联邦国际学校第二餐厅三楼食堂（承包）的河北泓林餐饮管理有限公司的餐饮管理服务（热食类食品制售）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F：位于河北省石家庄市桥西区新华西路 209 号-1 号河北联邦国际学校第二餐厅三楼食堂（承包）的河北泓林餐饮管理有限公司的餐饮管理服务（热食类食品制售）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H：E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bookmarkStart w:id="29" w:name="H勾选Add1"/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体系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trike/>
                <w:dstrike w:val="0"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2022年06月23日 上午至2022年06月25日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陈丽丹</w:t>
            </w:r>
            <w:r>
              <w:rPr>
                <w:rFonts w:hint="eastAsia"/>
                <w:sz w:val="20"/>
                <w:lang w:val="en-US" w:eastAsia="zh-CN"/>
              </w:rPr>
              <w:t>-远程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2021-N1HACCP-1246137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2021-N1FSMS-1246137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13818030725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被</w:t>
            </w:r>
            <w:r>
              <w:rPr>
                <w:rFonts w:hint="eastAsia"/>
                <w:sz w:val="20"/>
                <w:lang w:val="en-US" w:eastAsia="zh-CN"/>
              </w:rPr>
              <w:t>张静</w:t>
            </w:r>
            <w:r>
              <w:rPr>
                <w:sz w:val="20"/>
                <w:lang w:val="de-DE"/>
              </w:rPr>
              <w:t>见证</w:t>
            </w:r>
            <w:r>
              <w:rPr>
                <w:rFonts w:hint="eastAsia"/>
                <w:sz w:val="20"/>
                <w:lang w:val="en-US" w:eastAsia="zh-CN"/>
              </w:rPr>
              <w:t>H组长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张静</w:t>
            </w:r>
            <w:r>
              <w:rPr>
                <w:rFonts w:hint="eastAsia"/>
                <w:sz w:val="20"/>
                <w:lang w:val="en-US" w:eastAsia="zh-CN"/>
              </w:rPr>
              <w:t>-远程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</w:t>
            </w:r>
            <w:r>
              <w:rPr>
                <w:rFonts w:hint="eastAsia"/>
                <w:sz w:val="20"/>
                <w:lang w:val="en-US" w:eastAsia="zh-CN"/>
              </w:rPr>
              <w:t>P</w:t>
            </w:r>
            <w:r>
              <w:rPr>
                <w:sz w:val="20"/>
                <w:lang w:val="de-DE"/>
              </w:rPr>
              <w:t>-3011923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2020-N1FSMS-3011923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见证</w:t>
            </w:r>
            <w:r>
              <w:rPr>
                <w:rFonts w:hint="eastAsia"/>
                <w:sz w:val="20"/>
                <w:lang w:val="en-US" w:eastAsia="zh-CN"/>
              </w:rPr>
              <w:t>陈丽丹H组长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0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45770" cy="250190"/>
                  <wp:effectExtent l="0" t="0" r="11430" b="3810"/>
                  <wp:docPr id="1" name="图片 1" descr="电子签名-陈丽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-陈丽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13818030725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43370" cy="9136380"/>
            <wp:effectExtent l="0" t="0" r="11430" b="7620"/>
            <wp:docPr id="4" name="图片 4" descr="3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 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13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52"/>
        <w:gridCol w:w="972"/>
        <w:gridCol w:w="4019"/>
        <w:gridCol w:w="248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88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817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2022-06-23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8612" w:type="dxa"/>
            <w:gridSpan w:val="4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1"/>
                <w:szCs w:val="21"/>
                <w:lang w:eastAsia="zh-CN"/>
              </w:rPr>
              <w:t>办公地址部门（领导层、办公室）；经营地址部门【食品安全小组、经营部（采购、销售）、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餐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管部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含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场及质检）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】</w:t>
            </w:r>
            <w:bookmarkStart w:id="34" w:name="_GoBack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exact"/>
              <w:jc w:val="both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#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腾讯会议：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lang w:val="en-US" w:eastAsia="zh-CN"/>
              </w:rPr>
              <w:t xml:space="preserve">952-194-126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48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72" w:type="dxa"/>
            <w:shd w:val="clear" w:color="auto" w:fill="EBF1DE" w:themeFill="accent3" w:themeFillTint="32"/>
            <w:vAlign w:val="center"/>
          </w:tcPr>
          <w:p>
            <w:pPr>
              <w:pStyle w:val="2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</w:rPr>
              <w:t>领导层</w:t>
            </w:r>
          </w:p>
          <w:p>
            <w:pPr>
              <w:pStyle w:val="2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4019" w:type="dxa"/>
            <w:shd w:val="clear" w:color="auto" w:fill="EBF1DE" w:themeFill="accent3" w:themeFillTint="32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内外部环境、相关方需求和期望识别、合规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重大投诉/重大食品安全事故等</w:t>
            </w:r>
          </w:p>
        </w:tc>
        <w:tc>
          <w:tcPr>
            <w:tcW w:w="2487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F:4.1-4.4/5.1/5.2/5.3/6.1/6.2/6.3/7.1.1/7.4/7.5.1/8.1/8.4/9.1.1/9.2/9.3/10.1-10.3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H:1.1/1.2.1/1.2.2/2.1-2.5/3.1/3.13/5.1/5.3/5.4/5.5</w:t>
            </w:r>
          </w:p>
          <w:p>
            <w:pPr>
              <w:pStyle w:val="2"/>
              <w:rPr>
                <w:rFonts w:asciiTheme="minorEastAsia" w:hAnsiTheme="minorEastAsia" w:eastAsia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:00-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72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4019" w:type="dxa"/>
            <w:shd w:val="clear" w:color="auto" w:fill="FDEADA" w:themeFill="accent6" w:themeFillTint="32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食品安全小组/HACCP组长及职责、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监视和测量、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致敏物质的管理、食品防护计划、食品欺诈预防计划、HACCP计划记录的保持</w:t>
            </w:r>
          </w:p>
        </w:tc>
        <w:tc>
          <w:tcPr>
            <w:tcW w:w="2487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F:5.3/7.1.5/8.2/8.3/8.5/8.6/8.8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</w:p>
          <w:p>
            <w:pPr>
              <w:tabs>
                <w:tab w:val="left" w:pos="709"/>
              </w:tabs>
              <w:ind w:right="57" w:right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H:2.5.1/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3.1/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3.3/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3.6/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3.7/3.10/3.11/3.12/4.1-4.6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7478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</w:rPr>
              <w:t>部（采购、销售）</w:t>
            </w:r>
          </w:p>
        </w:tc>
        <w:tc>
          <w:tcPr>
            <w:tcW w:w="401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目标、职责、基础设施、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工作环境控制、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(PRPs)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前提方案、关键控制点的监视系统、可追溯性系统、潜在不符合品控制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、产品特性、预期用途、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外部提供的过程、产品或服务控制、原材料和包装材料保障计划、食品欺诈和过敏原控制、订单管理、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产品撤回和召回、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顾客沟通及投诉相关信息处理</w:t>
            </w:r>
          </w:p>
        </w:tc>
        <w:tc>
          <w:tcPr>
            <w:tcW w:w="2487" w:type="dxa"/>
            <w:shd w:val="clear" w:color="auto" w:fill="EBF1DE" w:themeFill="accent3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F:5.3/6.2/8.2/7.1.6/7.4.2/8.5.4.5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/8.9.5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H:2.4.2/2.5.1/2.5.2.3/3.5/4.3.4/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3.9/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5.2</w:t>
            </w:r>
          </w:p>
          <w:p>
            <w:pPr>
              <w:pStyle w:val="2"/>
              <w:rPr>
                <w:rFonts w:hint="eastAsia" w:cs="Times New Roman" w:asciiTheme="minorEastAsia" w:hAnsiTheme="minorEastAsia" w:eastAsiaTheme="minorEastAsia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2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餐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管部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含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场及质检）</w:t>
            </w:r>
          </w:p>
        </w:tc>
        <w:tc>
          <w:tcPr>
            <w:tcW w:w="4019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部门职责、目标管理、前提方案/良好卫生规范现场情况、基础设施、工作环境、外部提供的过程、产品和服务的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放行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原材料验收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、标识和追溯/可追溯性、产品撤回/召回、应急准备和响应、生产和服务提供、产品和服务的设计和开发、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OPRP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CCP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致敏物管理、食品防护等、一阶段问题验证</w:t>
            </w:r>
          </w:p>
        </w:tc>
        <w:tc>
          <w:tcPr>
            <w:tcW w:w="2487" w:type="dxa"/>
            <w:shd w:val="clear" w:color="auto" w:fill="FDEADA" w:themeFill="accent6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F:5.3/6.2/7.1.3/7.1.4/7.4/8.1/8.2/8.3/8.4/8.5.4.5/8.7/8.8.1/8.9.1-8.9.4/8.9.5/9.1.2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H:2.4.2/2.5.1/3.3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3.6/3.7/3.8/3.9/3.10/3.11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3.13/4.3.4.3/4.5/5.1.1-5.1.3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7478" w:type="dxa"/>
            <w:gridSpan w:val="3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第一天审核结束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2022-06-24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2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餐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管部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含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场及质检）</w:t>
            </w:r>
          </w:p>
        </w:tc>
        <w:tc>
          <w:tcPr>
            <w:tcW w:w="4019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部门职责、目标管理、前提方案/良好卫生规范现场情况、基础设施、工作环境、外部提供的过程、产品和服务的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放行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原材料验收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、标识和追溯/可追溯性、产品撤回/召回、应急准备和响应、生产和服务提供、产品和服务的设计和开发、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OPRP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CCP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致敏物管理、食品防护等、一阶段问题验证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487" w:type="dxa"/>
            <w:shd w:val="clear" w:color="auto" w:fill="FDEADA" w:themeFill="accent6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F:5.3/6.2/7.1.3/7.1.4/7.4/8.1/8.2/8.3/8.4/8.5.4.5/8.7/8.8.1/8.9.1-8.9.4/8.9.5/9.1.2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H:2.4.2/2.5.1/3.3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3.6/3.7/3.8/3.9/3.10/3.11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3.13/4.3.4.3/4.5/5.1.1-5.1.3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：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30-12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：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7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</w:rPr>
              <w:t>部（采购、销售）</w:t>
            </w:r>
          </w:p>
        </w:tc>
        <w:tc>
          <w:tcPr>
            <w:tcW w:w="401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目标、职责、基础设施、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工作环境控制、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(PRPs)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前提方案、关键控制点的监视系统、可追溯性系统、潜在不符合品控制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、产品特性、预期用途、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外部提供的过程、产品或服务控制、原材料和包装材料保障计划、食品欺诈和过敏原控制、订单管理、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产品撤回和召回、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顾客沟通及投诉相关信息处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理【继续审核】</w:t>
            </w:r>
          </w:p>
        </w:tc>
        <w:tc>
          <w:tcPr>
            <w:tcW w:w="2487" w:type="dxa"/>
            <w:shd w:val="clear" w:color="auto" w:fill="EBF1DE" w:themeFill="accent3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F:5.3/6.2/8.2/7.1.6/7.4.2/8.5.4.5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/8.9.5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H:2.4.2/2.5.1/2.5.2.3/3.5/4.3.4/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3.9/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5.2</w:t>
            </w:r>
          </w:p>
          <w:p>
            <w:pPr>
              <w:pStyle w:val="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12: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30-13:00</w:t>
            </w:r>
          </w:p>
        </w:tc>
        <w:tc>
          <w:tcPr>
            <w:tcW w:w="7478" w:type="dxa"/>
            <w:gridSpan w:val="3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餐休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息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13:00-17:00</w:t>
            </w:r>
          </w:p>
        </w:tc>
        <w:tc>
          <w:tcPr>
            <w:tcW w:w="972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餐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管部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含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场及质检）</w:t>
            </w:r>
          </w:p>
        </w:tc>
        <w:tc>
          <w:tcPr>
            <w:tcW w:w="4019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部门职责、目标管理、前提方案/良好卫生规范现场情况、基础设施、工作环境、外部提供的过程、产品和服务的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放行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原材料验收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、标识和追溯/可追溯性、产品撤回/召回、应急准备和响应、生产和服务提供、产品和服务的设计和开发、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OPRP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CCP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致敏物管理、食品防护等、一阶段问题验证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【继续审核】</w:t>
            </w:r>
          </w:p>
        </w:tc>
        <w:tc>
          <w:tcPr>
            <w:tcW w:w="2487" w:type="dxa"/>
            <w:shd w:val="clear" w:color="auto" w:fill="FDEADA" w:themeFill="accent6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F:5.3/6.2/7.1.3/7.1.4/7.4/8.1/8.2/8.3/8.4/8.5.4.5/8.7/8.8.1/8.9.1-8.9.4/8.9.5/9.1.2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H:2.4.2/2.5.1/3.3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3.6/3.7/3.8/3.9/3.10/3.11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3.13/4.3.4.3/4.5/5.1.1-5.1.3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13:00-17:00</w:t>
            </w:r>
          </w:p>
        </w:tc>
        <w:tc>
          <w:tcPr>
            <w:tcW w:w="97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</w:rPr>
              <w:t>部（采购、销售）</w:t>
            </w:r>
          </w:p>
        </w:tc>
        <w:tc>
          <w:tcPr>
            <w:tcW w:w="4019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目标、职责、基础设施、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工作环境控制、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(PRPs)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前提方案、关键控制点的监视系统、可追溯性系统、潜在不符合品控制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、产品特性、预期用途、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外部提供的过程、产品或服务控制、原材料和包装材料保障计划、食品欺诈和过敏原控制、订单管理、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产品撤回和召回、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顾客沟通及投诉相关信息处理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487" w:type="dxa"/>
            <w:shd w:val="clear" w:color="auto" w:fill="EBF1DE" w:themeFill="accent3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F:5.3/6.2/8.2/7.1.6/7.4.2/8.5.4.5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/8.9.5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H:2.4.2/2.5.1/2.5.2.3/3.5/4.3.4/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3.9/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5.2</w:t>
            </w:r>
          </w:p>
          <w:p>
            <w:pPr>
              <w:pStyle w:val="2"/>
              <w:rPr>
                <w:rFonts w:cs="Times New Roman" w:asciiTheme="minorEastAsia" w:hAnsiTheme="minorEastAsia" w:eastAsia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17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：00</w:t>
            </w: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第二天审核结束</w:t>
            </w:r>
          </w:p>
        </w:tc>
        <w:tc>
          <w:tcPr>
            <w:tcW w:w="2487" w:type="dxa"/>
            <w:vAlign w:val="center"/>
          </w:tcPr>
          <w:p>
            <w:pPr>
              <w:spacing w:line="300" w:lineRule="exact"/>
              <w:rPr>
                <w:rFonts w:cs="Arial"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2022-06-25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第三天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cs="Arial"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97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办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公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室</w:t>
            </w:r>
          </w:p>
        </w:tc>
        <w:tc>
          <w:tcPr>
            <w:tcW w:w="4019" w:type="dxa"/>
            <w:shd w:val="clear" w:color="auto" w:fill="EBF1DE" w:themeFill="accent3" w:themeFillTint="3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部门职责、目标、人员、能力、意识、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内外部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沟通、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内部报告、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持证上岗人员、健康证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、文件和记录管理</w:t>
            </w:r>
          </w:p>
        </w:tc>
        <w:tc>
          <w:tcPr>
            <w:tcW w:w="2487" w:type="dxa"/>
            <w:shd w:val="clear" w:color="auto" w:fill="EBF1DE" w:themeFill="accent3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F：5.3/6.2/7.1.2/7.2/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7.3/7.4/7.5.2/7.5.3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09"/>
              </w:tabs>
              <w:ind w:right="57" w:rightChars="0"/>
              <w:rPr>
                <w:rFonts w:cs="Times New Roman" w:asciiTheme="minorEastAsia" w:hAnsiTheme="minorEastAsia" w:eastAsia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H:1.2.3/1.2.4/2.4.2/2.5.1/2.5.2.1/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2.5.2.2/2.5.2.3/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3.2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8：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30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972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餐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管部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含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场及质检）</w:t>
            </w:r>
          </w:p>
        </w:tc>
        <w:tc>
          <w:tcPr>
            <w:tcW w:w="4019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部门职责、目标管理、前提方案/良好卫生规范现场情况、基础设施、工作环境、外部提供的过程、产品和服务的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放行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原材料验收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、标识和追溯/可追溯性、产品撤回/召回、应急准备和响应、生产和服务提供、产品和服务的设计和开发、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OPRP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CCP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致敏物管理、食品防护等、一阶段问题验证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487" w:type="dxa"/>
            <w:shd w:val="clear" w:color="auto" w:fill="FDEADA" w:themeFill="accent6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F:5.3/6.2/7.1.3/7.1.4/7.4/8.1/8.2/8.3/8.4/8.5.4.5/8.7/8.8.1/8.9.1-8.9.4/8.9.5/9.1.2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H:2.4.2/2.5.1/3.3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3.6/3.7/3.8/3.9/3.10/3.11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3.13/4.3.4.3/4.5/5.1.1-5.1.3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12: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30-13:00</w:t>
            </w:r>
          </w:p>
        </w:tc>
        <w:tc>
          <w:tcPr>
            <w:tcW w:w="7478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餐休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息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972" w:type="dxa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办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公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室</w:t>
            </w:r>
          </w:p>
        </w:tc>
        <w:tc>
          <w:tcPr>
            <w:tcW w:w="4019" w:type="dxa"/>
            <w:shd w:val="clear" w:color="auto" w:fill="EBF1DE" w:themeFill="accent3" w:themeFillTint="32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部门职责、目标、人员、能力、意识、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内外部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沟通、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内部报告、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持证上岗人员、健康证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、文件和记录管理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487" w:type="dxa"/>
            <w:shd w:val="clear" w:color="auto" w:fill="EBF1DE" w:themeFill="accent3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F：5.3/6.2/7.1.2/7.2/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7.3/7.4/7.5.2/7.5.3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09"/>
              </w:tabs>
              <w:ind w:right="57" w:rightChars="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H:1.2.3/1.2.4/2.4.2/2.5.1/2.5.2.1/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2.5.2.2/2.5.2.3/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3.2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972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餐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管部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含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场及质检）</w:t>
            </w:r>
          </w:p>
        </w:tc>
        <w:tc>
          <w:tcPr>
            <w:tcW w:w="4019" w:type="dxa"/>
            <w:shd w:val="clear" w:color="auto" w:fill="FDEADA" w:themeFill="accent6" w:themeFillTint="32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部门职责、目标管理、前提方案/良好卫生规范现场情况、基础设施、工作环境、外部提供的过程、产品和服务的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放行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原材料验收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、标识和追溯/可追溯性、产品撤回/召回、应急准备和响应、生产和服务提供、产品和服务的设计和开发、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OPRP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CCP</w:t>
            </w:r>
            <w:r>
              <w:rPr>
                <w:rFonts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>
              <w:rPr>
                <w:rFonts w:hint="eastAsia" w:cs="CIDFont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致敏物管理、食品防护等、一阶段问题验证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487" w:type="dxa"/>
            <w:shd w:val="clear" w:color="auto" w:fill="FDEADA" w:themeFill="accent6" w:themeFillTint="32"/>
            <w:vAlign w:val="center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F:5.3/6.2/7.1.3/7.1.4/7.4/8.1/8.2/8.3/8.4/8.5.4.5/8.7/8.8.1/8.9.1-8.9.4/8.9.5/9.1.2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cs="Times New Roman" w:asciiTheme="minorEastAsia" w:hAnsiTheme="minorEastAsia" w:eastAsia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H:2.4.2/2.5.1/3.3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3.6/3.7/3.8/3.9/3.10/3.11</w:t>
            </w: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3.13/4.3.4.3/4.5/5.1.1-5.1.3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6:0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19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审核组整理资料、补充审核及与企业领导沟通</w:t>
            </w:r>
          </w:p>
        </w:tc>
        <w:tc>
          <w:tcPr>
            <w:tcW w:w="2487" w:type="dxa"/>
            <w:vAlign w:val="center"/>
          </w:tcPr>
          <w:p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/B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6:30-17:00</w:t>
            </w: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#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腾讯会议：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408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436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075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248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7:0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0</w:t>
            </w: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审核结束</w:t>
            </w:r>
          </w:p>
        </w:tc>
        <w:tc>
          <w:tcPr>
            <w:tcW w:w="248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wNWE4NWNiZGM2NDBmZGMxOGM5MzFiMmJmYWNlMWEifQ=="/>
  </w:docVars>
  <w:rsids>
    <w:rsidRoot w:val="00000000"/>
    <w:rsid w:val="007B7B69"/>
    <w:rsid w:val="05EE7C62"/>
    <w:rsid w:val="0E515AC0"/>
    <w:rsid w:val="182637C3"/>
    <w:rsid w:val="206318C6"/>
    <w:rsid w:val="220914C7"/>
    <w:rsid w:val="23D73E78"/>
    <w:rsid w:val="309E4E68"/>
    <w:rsid w:val="3380523A"/>
    <w:rsid w:val="37953E11"/>
    <w:rsid w:val="4CA37CC7"/>
    <w:rsid w:val="5DC02449"/>
    <w:rsid w:val="600F1693"/>
    <w:rsid w:val="71854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3483</Words>
  <Characters>5692</Characters>
  <Lines>37</Lines>
  <Paragraphs>10</Paragraphs>
  <TotalTime>0</TotalTime>
  <ScaleCrop>false</ScaleCrop>
  <LinksUpToDate>false</LinksUpToDate>
  <CharactersWithSpaces>5752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2022-06-28T10:27:53Z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