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hint="eastAsia" w:ascii="宋体" w:hAnsi="宋体"/>
              </w:rPr>
            </w:pPr>
            <w:bookmarkStart w:id="0" w:name="组织名称"/>
            <w:r>
              <w:rPr>
                <w:rFonts w:hint="eastAsia" w:ascii="宋体" w:hAnsi="宋体"/>
              </w:rPr>
              <w:t>山东晴洋家具有限公司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项目编号</w:t>
            </w:r>
          </w:p>
        </w:tc>
        <w:tc>
          <w:tcPr>
            <w:tcW w:w="2795" w:type="dxa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0521-2021-SE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</w:pP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初次审查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/>
              </w:rPr>
              <w:t>次跟踪审查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val="en-US" w:eastAsia="zh-CN"/>
              </w:rPr>
              <w:t>商品售后服务成熟度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■</w:t>
            </w:r>
            <w:r>
              <w:rPr>
                <w:rFonts w:hint="eastAsia" w:ascii="Segoe UI Symbol" w:hAnsi="Segoe UI Symbol"/>
              </w:rPr>
              <w:t xml:space="preserve">  商品售后服务成熟度（CTS ISC-JSGF-06《商品售后服务成熟度认证技术规范》）   </w:t>
            </w:r>
          </w:p>
          <w:p>
            <w:pPr>
              <w:spacing w:line="300" w:lineRule="auto"/>
            </w:pP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建立了适当的服务方针；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识别了应遵守的法律法规和其它要求；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规定了各个职能与层次的相应职责、有关的责任机制和信息交流机制，并确定了必要的资源能力；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</w:t>
            </w:r>
            <w:r>
              <w:rPr>
                <w:rFonts w:hint="eastAsia" w:ascii="宋体" w:hAnsi="宋体"/>
                <w:lang w:val="en-US" w:eastAsia="zh-CN"/>
              </w:rPr>
              <w:t>现场</w:t>
            </w:r>
            <w:bookmarkStart w:id="1" w:name="_GoBack"/>
            <w:bookmarkEnd w:id="1"/>
            <w:r>
              <w:rPr>
                <w:rFonts w:hint="eastAsia" w:ascii="宋体" w:hAnsi="宋体"/>
              </w:rPr>
              <w:t>审查。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-4445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 xml:space="preserve"> 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</w:t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-183515</wp:posOffset>
                  </wp:positionV>
                  <wp:extent cx="648335" cy="317500"/>
                  <wp:effectExtent l="0" t="0" r="18415" b="5715"/>
                  <wp:wrapSquare wrapText="bothSides"/>
                  <wp:docPr id="2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审查组长：                   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专业人员：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年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00" w:lineRule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-142240</wp:posOffset>
          </wp:positionV>
          <wp:extent cx="481330" cy="484505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w:pict>
        <v:shape id="_x0000_s1026" o:spid="_x0000_s1026" o:spt="202" type="#_x0000_t202" style="position:absolute;left:0pt;margin-left:364.05pt;margin-top:1.25pt;height:23.35pt;width:122.85pt;z-index:251661312;mso-width-relative:page;mso-height-relative:page;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420" w:firstLineChars="20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编号：ISC-SE-10</w:t>
                </w:r>
              </w:p>
            </w:txbxContent>
          </v:textbox>
        </v:shape>
      </w:pic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6B5D77"/>
    <w:rsid w:val="00255B8B"/>
    <w:rsid w:val="00371243"/>
    <w:rsid w:val="003C5EE1"/>
    <w:rsid w:val="005B5090"/>
    <w:rsid w:val="006476B7"/>
    <w:rsid w:val="006A4037"/>
    <w:rsid w:val="006B5D77"/>
    <w:rsid w:val="006D2851"/>
    <w:rsid w:val="007D0248"/>
    <w:rsid w:val="00916A41"/>
    <w:rsid w:val="00A10264"/>
    <w:rsid w:val="00A7329C"/>
    <w:rsid w:val="00AD19D8"/>
    <w:rsid w:val="00BB3071"/>
    <w:rsid w:val="00C02C06"/>
    <w:rsid w:val="00DC19E9"/>
    <w:rsid w:val="00EE29E0"/>
    <w:rsid w:val="02A819F7"/>
    <w:rsid w:val="07B37382"/>
    <w:rsid w:val="0C375499"/>
    <w:rsid w:val="113531B7"/>
    <w:rsid w:val="19016B74"/>
    <w:rsid w:val="24E51AEB"/>
    <w:rsid w:val="34AC5C26"/>
    <w:rsid w:val="48110943"/>
    <w:rsid w:val="4AAC6AB5"/>
    <w:rsid w:val="4D55198E"/>
    <w:rsid w:val="53523470"/>
    <w:rsid w:val="5DBB4256"/>
    <w:rsid w:val="64D3092D"/>
    <w:rsid w:val="69356291"/>
    <w:rsid w:val="777B687A"/>
    <w:rsid w:val="78A30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704</Characters>
  <Lines>6</Lines>
  <Paragraphs>1</Paragraphs>
  <TotalTime>1</TotalTime>
  <ScaleCrop>false</ScaleCrop>
  <LinksUpToDate>false</LinksUpToDate>
  <CharactersWithSpaces>929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2022-06-22T00:38:56Z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CDC1270126F841F1AE6EBB02EA1A8B02</vt:lpwstr>
  </property>
</Properties>
</file>