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7"/>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13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云南路广建筑材料有限公司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中国（云南）自由贸易试验区昆明片区经开区洛羊街道办事处小新册社区小梨园路金山小区二期20幢12层1203号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中国（云南）自由贸易试验区昆明片区经开区洛羊街道办事处小新册社区小梨园路金山小区二期2幢6层603号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洪志雄</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18081920790</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6" w:name="最高管理者"/>
            <w:bookmarkEnd w:id="6"/>
            <w:r>
              <w:rPr>
                <w:rFonts w:hint="eastAsia"/>
                <w:lang w:val="en-US" w:eastAsia="zh-CN"/>
              </w:rPr>
              <w:t>张燕霞</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0806-2022-QEO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top"/>
          </w:tcPr>
          <w:p>
            <w:pPr>
              <w:rPr>
                <w:b/>
                <w:color w:val="auto"/>
                <w:sz w:val="20"/>
              </w:rPr>
            </w:pPr>
            <w:r>
              <w:rPr>
                <w:rFonts w:hint="eastAsia"/>
                <w:b/>
                <w:color w:val="auto"/>
                <w:sz w:val="20"/>
              </w:rPr>
              <w:t>远程审核方式</w:t>
            </w:r>
          </w:p>
        </w:tc>
        <w:tc>
          <w:tcPr>
            <w:tcW w:w="9179" w:type="dxa"/>
            <w:gridSpan w:val="12"/>
            <w:vAlign w:val="bottom"/>
          </w:tcPr>
          <w:p>
            <w:pPr>
              <w:rPr>
                <w:rFonts w:ascii="宋体" w:hAnsi="宋体"/>
                <w:b/>
                <w:bCs/>
                <w:color w:val="auto"/>
                <w:sz w:val="20"/>
              </w:rPr>
            </w:pPr>
            <w:r>
              <w:rPr>
                <w:rFonts w:hint="eastAsia" w:ascii="宋体" w:hAnsi="宋体"/>
                <w:b/>
                <w:bCs/>
                <w:color w:val="auto"/>
                <w:sz w:val="20"/>
              </w:rPr>
              <w:t>□音频</w:t>
            </w:r>
            <w:r>
              <w:rPr>
                <w:rFonts w:hint="eastAsia" w:ascii="宋体" w:hAnsi="宋体"/>
                <w:b/>
                <w:bCs/>
                <w:color w:val="auto"/>
                <w:sz w:val="20"/>
                <w:lang w:eastAsia="zh-CN"/>
              </w:rPr>
              <w:t>■</w:t>
            </w:r>
            <w:r>
              <w:rPr>
                <w:rFonts w:hint="eastAsia" w:ascii="宋体" w:hAnsi="宋体"/>
                <w:b/>
                <w:bCs/>
                <w:color w:val="auto"/>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top"/>
          </w:tcPr>
          <w:p>
            <w:pPr>
              <w:rPr>
                <w:b/>
                <w:color w:val="auto"/>
                <w:sz w:val="20"/>
              </w:rPr>
            </w:pPr>
            <w:r>
              <w:rPr>
                <w:rFonts w:hint="eastAsia"/>
                <w:b/>
                <w:color w:val="auto"/>
                <w:sz w:val="20"/>
              </w:rPr>
              <w:t>远程审核资源</w:t>
            </w:r>
          </w:p>
        </w:tc>
        <w:tc>
          <w:tcPr>
            <w:tcW w:w="9179" w:type="dxa"/>
            <w:gridSpan w:val="12"/>
            <w:vAlign w:val="bottom"/>
          </w:tcPr>
          <w:p>
            <w:pPr>
              <w:rPr>
                <w:rFonts w:ascii="宋体" w:hAnsi="宋体"/>
                <w:b/>
                <w:bCs/>
                <w:color w:val="auto"/>
                <w:sz w:val="20"/>
              </w:rPr>
            </w:pPr>
            <w:r>
              <w:rPr>
                <w:rFonts w:hint="eastAsia" w:ascii="宋体" w:hAnsi="宋体"/>
                <w:b/>
                <w:bCs/>
                <w:color w:val="auto"/>
                <w:sz w:val="20"/>
                <w:lang w:eastAsia="zh-CN"/>
              </w:rPr>
              <w:t>■</w:t>
            </w:r>
            <w:r>
              <w:rPr>
                <w:rFonts w:hint="eastAsia" w:ascii="宋体" w:hAnsi="宋体"/>
                <w:b/>
                <w:bCs/>
                <w:color w:val="auto"/>
                <w:sz w:val="20"/>
              </w:rPr>
              <w:t xml:space="preserve">网络 </w:t>
            </w:r>
            <w:r>
              <w:rPr>
                <w:rFonts w:hint="eastAsia" w:ascii="宋体" w:hAnsi="宋体"/>
                <w:b/>
                <w:bCs/>
                <w:color w:val="auto"/>
                <w:sz w:val="20"/>
                <w:lang w:eastAsia="zh-CN"/>
              </w:rPr>
              <w:t>■</w:t>
            </w:r>
            <w:r>
              <w:rPr>
                <w:rFonts w:hint="eastAsia" w:ascii="宋体" w:hAnsi="宋体"/>
                <w:b/>
                <w:bCs/>
                <w:color w:val="auto"/>
                <w:sz w:val="20"/>
              </w:rPr>
              <w:t xml:space="preserve">智能手机  □台式电脑 </w:t>
            </w:r>
            <w:r>
              <w:rPr>
                <w:rFonts w:hint="eastAsia" w:ascii="宋体" w:hAnsi="宋体"/>
                <w:b/>
                <w:bCs/>
                <w:color w:val="auto"/>
                <w:sz w:val="20"/>
                <w:lang w:eastAsia="zh-CN"/>
              </w:rPr>
              <w:t>■</w:t>
            </w:r>
            <w:r>
              <w:rPr>
                <w:rFonts w:hint="eastAsia" w:ascii="宋体" w:hAnsi="宋体"/>
                <w:b/>
                <w:bCs/>
                <w:color w:val="auto"/>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Q：塑料波纹管销售、建材销售（含钢筋连接套筒、钢筋网片）</w:t>
            </w:r>
          </w:p>
          <w:p>
            <w:pPr>
              <w:rPr>
                <w:sz w:val="20"/>
              </w:rPr>
            </w:pPr>
            <w:r>
              <w:rPr>
                <w:sz w:val="20"/>
              </w:rPr>
              <w:t>E：塑料波纹管销售、建材销售（含钢筋连接套筒、钢筋网片）所涉及场所的相关环境管理活动</w:t>
            </w:r>
          </w:p>
          <w:p>
            <w:pPr>
              <w:rPr>
                <w:sz w:val="20"/>
              </w:rPr>
            </w:pPr>
            <w:r>
              <w:rPr>
                <w:sz w:val="20"/>
              </w:rPr>
              <w:t>O：塑料波纹管销售、建材销售（含钢筋连接套筒、钢筋网片）所涉及场所的相关职业健康安全管理活动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Q：29.12.00</w:t>
            </w:r>
          </w:p>
          <w:p>
            <w:pPr>
              <w:jc w:val="left"/>
              <w:rPr>
                <w:sz w:val="20"/>
              </w:rPr>
            </w:pPr>
            <w:r>
              <w:rPr>
                <w:sz w:val="20"/>
              </w:rPr>
              <w:t>E：29.12.00</w:t>
            </w:r>
          </w:p>
          <w:p>
            <w:pPr>
              <w:jc w:val="left"/>
              <w:rPr>
                <w:sz w:val="20"/>
              </w:rPr>
            </w:pPr>
            <w:r>
              <w:rPr>
                <w:sz w:val="20"/>
              </w:rPr>
              <w:t>O：29.12.00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远程审核于2022年06月2</w:t>
            </w:r>
            <w:r>
              <w:rPr>
                <w:rFonts w:hint="eastAsia"/>
                <w:b/>
                <w:sz w:val="20"/>
                <w:lang w:val="en-US" w:eastAsia="zh-CN"/>
              </w:rPr>
              <w:t>2</w:t>
            </w:r>
            <w:r>
              <w:rPr>
                <w:rFonts w:hint="eastAsia"/>
                <w:b/>
                <w:sz w:val="20"/>
              </w:rPr>
              <w:t>日 上午至2022年06月2</w:t>
            </w:r>
            <w:r>
              <w:rPr>
                <w:rFonts w:hint="eastAsia"/>
                <w:b/>
                <w:sz w:val="20"/>
                <w:lang w:val="en-US" w:eastAsia="zh-CN"/>
              </w:rPr>
              <w:t>2</w:t>
            </w:r>
            <w:r>
              <w:rPr>
                <w:rFonts w:hint="eastAsia"/>
                <w:b/>
                <w:sz w:val="20"/>
              </w:rPr>
              <w:t>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64" w:type="dxa"/>
            <w:gridSpan w:val="4"/>
            <w:vAlign w:val="center"/>
          </w:tcPr>
          <w:p>
            <w:pPr>
              <w:jc w:val="center"/>
              <w:rPr>
                <w:sz w:val="20"/>
                <w:lang w:val="de-DE"/>
              </w:rPr>
            </w:pPr>
            <w:r>
              <w:rPr>
                <w:rFonts w:hint="eastAsia"/>
                <w:sz w:val="21"/>
                <w:szCs w:val="21"/>
              </w:rPr>
              <w:t>联系电话</w:t>
            </w:r>
          </w:p>
        </w:tc>
        <w:tc>
          <w:tcPr>
            <w:tcW w:w="1315"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杨珍全</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1696" w:type="dxa"/>
            <w:gridSpan w:val="2"/>
            <w:vAlign w:val="center"/>
          </w:tcPr>
          <w:p>
            <w:pPr>
              <w:jc w:val="center"/>
              <w:rPr>
                <w:sz w:val="20"/>
                <w:lang w:val="de-DE"/>
              </w:rPr>
            </w:pPr>
            <w:r>
              <w:rPr>
                <w:sz w:val="20"/>
                <w:lang w:val="de-DE"/>
              </w:rPr>
              <w:t>Q:29.12.00</w:t>
            </w:r>
          </w:p>
          <w:p>
            <w:pPr>
              <w:jc w:val="center"/>
              <w:rPr>
                <w:sz w:val="20"/>
                <w:lang w:val="de-DE"/>
              </w:rPr>
            </w:pPr>
            <w:r>
              <w:rPr>
                <w:sz w:val="20"/>
                <w:lang w:val="de-DE"/>
              </w:rPr>
              <w:t>E:29.12.00</w:t>
            </w:r>
          </w:p>
          <w:p>
            <w:pPr>
              <w:jc w:val="center"/>
              <w:rPr>
                <w:sz w:val="20"/>
                <w:lang w:val="de-DE"/>
              </w:rPr>
            </w:pPr>
            <w:r>
              <w:rPr>
                <w:sz w:val="20"/>
                <w:lang w:val="de-DE"/>
              </w:rPr>
              <w:t>O:29.12.00</w:t>
            </w:r>
          </w:p>
        </w:tc>
        <w:tc>
          <w:tcPr>
            <w:tcW w:w="1364" w:type="dxa"/>
            <w:gridSpan w:val="4"/>
            <w:vAlign w:val="center"/>
          </w:tcPr>
          <w:p>
            <w:pPr>
              <w:jc w:val="center"/>
              <w:rPr>
                <w:sz w:val="20"/>
                <w:lang w:val="de-DE"/>
              </w:rPr>
            </w:pPr>
            <w:r>
              <w:rPr>
                <w:sz w:val="20"/>
                <w:lang w:val="de-DE"/>
              </w:rPr>
              <w:t>13883847833</w:t>
            </w:r>
          </w:p>
        </w:tc>
        <w:tc>
          <w:tcPr>
            <w:tcW w:w="131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张心</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2021-N1QMS-3207381</w:t>
            </w:r>
          </w:p>
        </w:tc>
        <w:tc>
          <w:tcPr>
            <w:tcW w:w="1696" w:type="dxa"/>
            <w:gridSpan w:val="2"/>
            <w:vAlign w:val="center"/>
          </w:tcPr>
          <w:p>
            <w:pPr>
              <w:jc w:val="center"/>
              <w:rPr>
                <w:sz w:val="20"/>
                <w:lang w:val="de-DE"/>
              </w:rPr>
            </w:pPr>
            <w:r>
              <w:rPr>
                <w:sz w:val="20"/>
                <w:lang w:val="de-DE"/>
              </w:rPr>
              <w:t>Q:29.12.00</w:t>
            </w:r>
          </w:p>
        </w:tc>
        <w:tc>
          <w:tcPr>
            <w:tcW w:w="1364" w:type="dxa"/>
            <w:gridSpan w:val="4"/>
            <w:vAlign w:val="center"/>
          </w:tcPr>
          <w:p>
            <w:pPr>
              <w:jc w:val="center"/>
              <w:rPr>
                <w:sz w:val="20"/>
                <w:lang w:val="de-DE"/>
              </w:rPr>
            </w:pPr>
            <w:r>
              <w:rPr>
                <w:sz w:val="20"/>
                <w:lang w:val="de-DE"/>
              </w:rPr>
              <w:t>15023289133</w:t>
            </w:r>
          </w:p>
        </w:tc>
        <w:tc>
          <w:tcPr>
            <w:tcW w:w="131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64" w:type="dxa"/>
            <w:gridSpan w:val="4"/>
            <w:vAlign w:val="center"/>
          </w:tcPr>
          <w:p>
            <w:pPr>
              <w:rPr>
                <w:sz w:val="21"/>
                <w:szCs w:val="21"/>
              </w:rPr>
            </w:pPr>
          </w:p>
        </w:tc>
        <w:tc>
          <w:tcPr>
            <w:tcW w:w="131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64" w:type="dxa"/>
            <w:gridSpan w:val="4"/>
            <w:vAlign w:val="center"/>
          </w:tcPr>
          <w:p>
            <w:pPr>
              <w:rPr>
                <w:sz w:val="21"/>
                <w:szCs w:val="21"/>
              </w:rPr>
            </w:pPr>
          </w:p>
        </w:tc>
        <w:tc>
          <w:tcPr>
            <w:tcW w:w="131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64" w:type="dxa"/>
            <w:gridSpan w:val="4"/>
            <w:vAlign w:val="center"/>
          </w:tcPr>
          <w:p>
            <w:pPr>
              <w:rPr>
                <w:sz w:val="21"/>
                <w:szCs w:val="21"/>
              </w:rPr>
            </w:pPr>
          </w:p>
        </w:tc>
        <w:tc>
          <w:tcPr>
            <w:tcW w:w="131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4"/>
            </w:pPr>
          </w:p>
        </w:tc>
        <w:tc>
          <w:tcPr>
            <w:tcW w:w="1364" w:type="dxa"/>
            <w:gridSpan w:val="4"/>
            <w:vAlign w:val="center"/>
          </w:tcPr>
          <w:p>
            <w:pPr>
              <w:rPr>
                <w:sz w:val="21"/>
                <w:szCs w:val="21"/>
              </w:rPr>
            </w:pPr>
          </w:p>
        </w:tc>
        <w:tc>
          <w:tcPr>
            <w:tcW w:w="131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364" w:type="dxa"/>
            <w:gridSpan w:val="4"/>
            <w:vAlign w:val="center"/>
          </w:tcPr>
          <w:p>
            <w:r>
              <w:rPr>
                <w:rFonts w:hint="eastAsia"/>
                <w:sz w:val="21"/>
                <w:szCs w:val="21"/>
              </w:rPr>
              <w:t>组内代码</w:t>
            </w:r>
          </w:p>
        </w:tc>
        <w:tc>
          <w:tcPr>
            <w:tcW w:w="1315"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364" w:type="dxa"/>
            <w:gridSpan w:val="4"/>
            <w:vAlign w:val="center"/>
          </w:tcPr>
          <w:p/>
        </w:tc>
        <w:tc>
          <w:tcPr>
            <w:tcW w:w="1315"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364" w:type="dxa"/>
            <w:gridSpan w:val="4"/>
            <w:vAlign w:val="center"/>
          </w:tcPr>
          <w:p/>
        </w:tc>
        <w:tc>
          <w:tcPr>
            <w:tcW w:w="1315"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267335</wp:posOffset>
                  </wp:positionH>
                  <wp:positionV relativeFrom="paragraph">
                    <wp:posOffset>25400</wp:posOffset>
                  </wp:positionV>
                  <wp:extent cx="815340" cy="403860"/>
                  <wp:effectExtent l="0" t="0" r="7620" b="762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5"/>
                          <a:stretch>
                            <a:fillRect/>
                          </a:stretch>
                        </pic:blipFill>
                        <pic:spPr>
                          <a:xfrm>
                            <a:off x="0" y="0"/>
                            <a:ext cx="815340" cy="403860"/>
                          </a:xfrm>
                          <a:prstGeom prst="rect">
                            <a:avLst/>
                          </a:prstGeom>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jc w:val="center"/>
              <w:rPr>
                <w:sz w:val="21"/>
                <w:szCs w:val="21"/>
              </w:rPr>
            </w:pPr>
            <w:r>
              <w:rPr>
                <w:sz w:val="21"/>
                <w:szCs w:val="21"/>
              </w:rPr>
              <w:t>李永忠</w:t>
            </w:r>
          </w:p>
        </w:tc>
        <w:tc>
          <w:tcPr>
            <w:tcW w:w="2126"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15"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jc w:val="center"/>
              <w:rPr>
                <w:sz w:val="21"/>
                <w:szCs w:val="21"/>
              </w:rPr>
            </w:pPr>
            <w:r>
              <w:rPr>
                <w:sz w:val="20"/>
                <w:lang w:val="de-DE"/>
              </w:rPr>
              <w:t>13883847833</w:t>
            </w:r>
          </w:p>
        </w:tc>
        <w:tc>
          <w:tcPr>
            <w:tcW w:w="1502" w:type="dxa"/>
            <w:gridSpan w:val="2"/>
            <w:vMerge w:val="continue"/>
            <w:vAlign w:val="center"/>
          </w:tcPr>
          <w:p>
            <w:pPr>
              <w:rPr>
                <w:sz w:val="21"/>
                <w:szCs w:val="21"/>
              </w:rPr>
            </w:pPr>
          </w:p>
        </w:tc>
        <w:tc>
          <w:tcPr>
            <w:tcW w:w="1938" w:type="dxa"/>
            <w:gridSpan w:val="2"/>
            <w:vMerge w:val="continue"/>
            <w:vAlign w:val="center"/>
          </w:tcPr>
          <w:p>
            <w:pPr>
              <w:jc w:val="center"/>
              <w:rPr>
                <w:sz w:val="21"/>
                <w:szCs w:val="21"/>
              </w:rPr>
            </w:pPr>
          </w:p>
        </w:tc>
        <w:tc>
          <w:tcPr>
            <w:tcW w:w="2126" w:type="dxa"/>
            <w:gridSpan w:val="5"/>
            <w:vMerge w:val="continue"/>
            <w:vAlign w:val="center"/>
          </w:tcPr>
          <w:p>
            <w:pPr>
              <w:rPr>
                <w:sz w:val="21"/>
                <w:szCs w:val="21"/>
              </w:rPr>
            </w:pPr>
          </w:p>
        </w:tc>
        <w:tc>
          <w:tcPr>
            <w:tcW w:w="1315"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jc w:val="center"/>
              <w:rPr>
                <w:sz w:val="21"/>
                <w:szCs w:val="21"/>
              </w:rPr>
            </w:pPr>
            <w:r>
              <w:rPr>
                <w:rFonts w:hint="eastAsia"/>
                <w:sz w:val="21"/>
                <w:szCs w:val="21"/>
                <w:lang w:val="en-US" w:eastAsia="zh-CN"/>
              </w:rPr>
              <w:t>2022.6.20</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jc w:val="center"/>
              <w:rPr>
                <w:sz w:val="21"/>
                <w:szCs w:val="21"/>
              </w:rPr>
            </w:pPr>
            <w:r>
              <w:rPr>
                <w:rFonts w:hint="eastAsia"/>
                <w:sz w:val="21"/>
                <w:szCs w:val="21"/>
                <w:lang w:val="en-US" w:eastAsia="zh-CN"/>
              </w:rPr>
              <w:t>2022.6.20</w:t>
            </w:r>
          </w:p>
        </w:tc>
        <w:tc>
          <w:tcPr>
            <w:tcW w:w="2126" w:type="dxa"/>
            <w:gridSpan w:val="5"/>
            <w:vAlign w:val="center"/>
          </w:tcPr>
          <w:p>
            <w:pPr>
              <w:rPr>
                <w:sz w:val="21"/>
                <w:szCs w:val="21"/>
              </w:rPr>
            </w:pPr>
            <w:r>
              <w:rPr>
                <w:rFonts w:hint="eastAsia"/>
                <w:sz w:val="20"/>
              </w:rPr>
              <w:t>日期</w:t>
            </w:r>
          </w:p>
        </w:tc>
        <w:tc>
          <w:tcPr>
            <w:tcW w:w="1315" w:type="dxa"/>
            <w:vAlign w:val="center"/>
          </w:tcPr>
          <w:p>
            <w:pPr>
              <w:rPr>
                <w:sz w:val="21"/>
                <w:szCs w:val="21"/>
              </w:rPr>
            </w:pPr>
          </w:p>
        </w:tc>
      </w:tr>
    </w:tbl>
    <w:p/>
    <w:p>
      <w:pPr>
        <w:pStyle w:val="2"/>
      </w:pPr>
    </w:p>
    <w:p>
      <w:pPr>
        <w:pStyle w:val="2"/>
      </w:pPr>
    </w:p>
    <w:tbl>
      <w:tblPr>
        <w:tblStyle w:val="7"/>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73"/>
        <w:gridCol w:w="1158"/>
        <w:gridCol w:w="565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lang w:val="en-US" w:eastAsia="zh-CN"/>
              </w:rPr>
              <w:t>远程</w:t>
            </w:r>
            <w:r>
              <w:rPr>
                <w:rFonts w:hint="eastAsia" w:ascii="宋体" w:hAnsi="宋体"/>
                <w:b/>
                <w:bCs/>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日期</w:t>
            </w:r>
          </w:p>
        </w:tc>
        <w:tc>
          <w:tcPr>
            <w:tcW w:w="1473"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1158"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5658"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1077" w:type="dxa"/>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11" w:type="dxa"/>
            <w:vMerge w:val="restart"/>
            <w:tcBorders>
              <w:left w:val="single" w:color="auto" w:sz="8" w:space="0"/>
            </w:tcBorders>
            <w:vAlign w:val="center"/>
          </w:tcPr>
          <w:p>
            <w:pPr>
              <w:snapToGrid w:val="0"/>
              <w:spacing w:line="320" w:lineRule="exact"/>
              <w:rPr>
                <w:rFonts w:ascii="宋体" w:hAnsi="宋体"/>
                <w:b/>
                <w:bCs/>
                <w:color w:val="auto"/>
                <w:sz w:val="21"/>
                <w:szCs w:val="21"/>
              </w:rPr>
            </w:pPr>
          </w:p>
          <w:p>
            <w:pPr>
              <w:snapToGrid w:val="0"/>
              <w:spacing w:line="280" w:lineRule="exact"/>
              <w:jc w:val="center"/>
              <w:rPr>
                <w:rFonts w:ascii="宋体" w:hAnsi="宋体"/>
                <w:b/>
                <w:bCs/>
                <w:color w:val="auto"/>
                <w:sz w:val="21"/>
                <w:szCs w:val="21"/>
              </w:rPr>
            </w:pPr>
          </w:p>
          <w:p>
            <w:pPr>
              <w:snapToGrid w:val="0"/>
              <w:spacing w:line="280" w:lineRule="exact"/>
              <w:jc w:val="center"/>
              <w:rPr>
                <w:rFonts w:ascii="宋体" w:hAnsi="宋体"/>
                <w:b/>
                <w:bCs/>
                <w:color w:val="auto"/>
                <w:sz w:val="21"/>
                <w:szCs w:val="21"/>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6</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月</w:t>
            </w: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22</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w:t>
            </w:r>
          </w:p>
          <w:p>
            <w:pPr>
              <w:snapToGrid w:val="0"/>
              <w:spacing w:line="280" w:lineRule="exact"/>
              <w:jc w:val="center"/>
              <w:rPr>
                <w:rFonts w:ascii="宋体" w:hAnsi="宋体"/>
                <w:b/>
                <w:bCs/>
                <w:color w:val="auto"/>
                <w:sz w:val="21"/>
                <w:szCs w:val="21"/>
              </w:rPr>
            </w:pPr>
          </w:p>
          <w:p>
            <w:pPr>
              <w:snapToGrid w:val="0"/>
              <w:spacing w:line="280" w:lineRule="exact"/>
              <w:jc w:val="center"/>
              <w:rPr>
                <w:rFonts w:hint="default" w:ascii="宋体" w:hAnsi="宋体" w:eastAsia="宋体"/>
                <w:b/>
                <w:bCs/>
                <w:color w:val="auto"/>
                <w:sz w:val="21"/>
                <w:szCs w:val="21"/>
                <w:lang w:val="en-US" w:eastAsia="zh-CN"/>
              </w:rPr>
            </w:pPr>
          </w:p>
        </w:tc>
        <w:tc>
          <w:tcPr>
            <w:tcW w:w="1473"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8:</w:t>
            </w:r>
            <w:r>
              <w:rPr>
                <w:rFonts w:hint="eastAsia" w:ascii="宋体" w:hAnsi="宋体"/>
                <w:b/>
                <w:bCs/>
                <w:color w:val="auto"/>
                <w:sz w:val="21"/>
                <w:szCs w:val="21"/>
                <w:lang w:val="en-US" w:eastAsia="zh-CN"/>
              </w:rPr>
              <w:t>3</w:t>
            </w:r>
            <w:r>
              <w:rPr>
                <w:rFonts w:hint="eastAsia" w:ascii="宋体" w:hAnsi="宋体"/>
                <w:b/>
                <w:bCs/>
                <w:color w:val="auto"/>
                <w:sz w:val="21"/>
                <w:szCs w:val="21"/>
              </w:rPr>
              <w:t>0-</w:t>
            </w:r>
            <w:r>
              <w:rPr>
                <w:rFonts w:hint="eastAsia" w:ascii="宋体" w:hAnsi="宋体"/>
                <w:b/>
                <w:bCs/>
                <w:color w:val="auto"/>
                <w:sz w:val="21"/>
                <w:szCs w:val="21"/>
                <w:lang w:val="en-US" w:eastAsia="zh-CN"/>
              </w:rPr>
              <w:t>9</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w:t>
            </w:r>
          </w:p>
        </w:tc>
        <w:tc>
          <w:tcPr>
            <w:tcW w:w="6816" w:type="dxa"/>
            <w:gridSpan w:val="2"/>
            <w:vAlign w:val="center"/>
          </w:tcPr>
          <w:p>
            <w:pPr>
              <w:rPr>
                <w:rFonts w:ascii="宋体" w:hAnsi="宋体"/>
                <w:color w:val="auto"/>
                <w:sz w:val="18"/>
              </w:rPr>
            </w:pPr>
            <w:r>
              <w:rPr>
                <w:rFonts w:hint="eastAsia" w:ascii="宋体" w:hAnsi="宋体" w:eastAsia="宋体" w:cs="Times New Roman"/>
                <w:b/>
                <w:bCs/>
                <w:color w:val="auto"/>
                <w:sz w:val="21"/>
                <w:szCs w:val="21"/>
              </w:rPr>
              <w:t>首次会议</w:t>
            </w:r>
          </w:p>
        </w:tc>
        <w:tc>
          <w:tcPr>
            <w:tcW w:w="1077" w:type="dxa"/>
            <w:tcBorders>
              <w:right w:val="single" w:color="auto" w:sz="8" w:space="0"/>
            </w:tcBorders>
            <w:vAlign w:val="center"/>
          </w:tcPr>
          <w:p>
            <w:pPr>
              <w:snapToGrid w:val="0"/>
              <w:spacing w:line="280" w:lineRule="exact"/>
              <w:jc w:val="left"/>
              <w:rPr>
                <w:rFonts w:hint="default" w:ascii="宋体" w:hAnsi="宋体" w:eastAsia="宋体"/>
                <w:b/>
                <w:bCs/>
                <w:color w:val="auto"/>
                <w:sz w:val="21"/>
                <w:szCs w:val="21"/>
                <w:lang w:val="en-US" w:eastAsia="zh-CN"/>
              </w:rPr>
            </w:pPr>
            <w:r>
              <w:rPr>
                <w:rFonts w:hint="eastAsia" w:ascii="宋体" w:hAnsi="宋体" w:eastAsia="宋体" w:cs="Times New Roman"/>
                <w:b/>
                <w:bCs/>
                <w:color w:val="auto"/>
                <w:sz w:val="18"/>
                <w:szCs w:val="18"/>
                <w:lang w:val="en-US" w:eastAsia="zh-CN"/>
              </w:rPr>
              <w:t>杨珍全、张心</w:t>
            </w:r>
            <w:r>
              <w:rPr>
                <w:rFonts w:hint="eastAsia" w:ascii="宋体" w:hAnsi="宋体" w:cs="Times New Roman"/>
                <w:b/>
                <w:bCs/>
                <w:color w:val="auto"/>
                <w:sz w:val="18"/>
                <w:szCs w:val="18"/>
                <w:lang w:val="en-US" w:eastAsia="zh-CN"/>
              </w:rPr>
              <w:t>/视频会议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73" w:type="dxa"/>
            <w:vAlign w:val="top"/>
          </w:tcPr>
          <w:p>
            <w:pPr>
              <w:snapToGrid w:val="0"/>
              <w:spacing w:line="280" w:lineRule="exact"/>
              <w:jc w:val="both"/>
              <w:rPr>
                <w:rFonts w:hint="eastAsia" w:ascii="宋体" w:hAnsi="宋体"/>
                <w:b/>
                <w:bCs/>
                <w:color w:val="auto"/>
                <w:sz w:val="21"/>
                <w:szCs w:val="21"/>
              </w:rPr>
            </w:pPr>
            <w:r>
              <w:rPr>
                <w:rFonts w:hint="eastAsia" w:ascii="宋体" w:hAnsi="宋体"/>
                <w:b/>
                <w:bCs/>
                <w:color w:val="auto"/>
                <w:sz w:val="21"/>
                <w:szCs w:val="21"/>
                <w:lang w:val="en-US" w:eastAsia="zh-CN"/>
              </w:rPr>
              <w:t>9</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0</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w:t>
            </w:r>
          </w:p>
          <w:p>
            <w:pPr>
              <w:snapToGrid w:val="0"/>
              <w:spacing w:line="320" w:lineRule="exact"/>
              <w:jc w:val="both"/>
              <w:rPr>
                <w:rFonts w:ascii="宋体" w:hAnsi="宋体"/>
                <w:b/>
                <w:bCs/>
                <w:color w:val="auto"/>
                <w:sz w:val="21"/>
                <w:szCs w:val="21"/>
              </w:rPr>
            </w:pPr>
          </w:p>
        </w:tc>
        <w:tc>
          <w:tcPr>
            <w:tcW w:w="1158" w:type="dxa"/>
          </w:tcPr>
          <w:p>
            <w:pPr>
              <w:spacing w:line="300" w:lineRule="exact"/>
              <w:rPr>
                <w:rFonts w:hint="default" w:ascii="宋体" w:hAnsi="宋体" w:eastAsia="宋体" w:cs="新宋体"/>
                <w:color w:val="auto"/>
                <w:sz w:val="18"/>
                <w:szCs w:val="18"/>
                <w:lang w:val="en-US" w:eastAsia="zh-CN"/>
              </w:rPr>
            </w:pPr>
            <w:r>
              <w:rPr>
                <w:rFonts w:hint="eastAsia" w:ascii="宋体" w:hAnsi="宋体" w:eastAsia="宋体" w:cs="Times New Roman"/>
                <w:color w:val="auto"/>
                <w:sz w:val="21"/>
                <w:szCs w:val="21"/>
              </w:rPr>
              <w:t>管理层</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含管代）</w:t>
            </w:r>
          </w:p>
        </w:tc>
        <w:tc>
          <w:tcPr>
            <w:tcW w:w="5658" w:type="dxa"/>
          </w:tcPr>
          <w:p>
            <w:pPr>
              <w:spacing w:line="300" w:lineRule="exact"/>
              <w:rPr>
                <w:rFonts w:hint="default" w:ascii="宋体" w:hAnsi="宋体" w:eastAsia="宋体" w:cs="新宋体"/>
                <w:color w:val="auto"/>
                <w:sz w:val="21"/>
                <w:szCs w:val="21"/>
                <w:highlight w:val="none"/>
                <w:lang w:val="en-US" w:eastAsia="zh-CN"/>
              </w:rPr>
            </w:pPr>
            <w:r>
              <w:rPr>
                <w:rFonts w:hint="eastAsia" w:ascii="宋体" w:hAnsi="宋体" w:eastAsia="宋体" w:cs="新宋体"/>
                <w:color w:val="auto"/>
                <w:sz w:val="21"/>
                <w:szCs w:val="21"/>
                <w:highlight w:val="none"/>
                <w:lang w:val="en-US" w:eastAsia="zh-CN"/>
              </w:rPr>
              <w:t>QMS ：4.1组织及其环境;4.2相关方需求与期望;4.3确定体系范围;4.4体系及其过程;5.1领导作用与承诺;5.2方针;5.3组织的角色、职责和权限；6.1应对风险和机遇的措施；6.2目标及其实现的策划；6.3变更的策划；7.1.1资源 总则；7.1.6组织知识；</w:t>
            </w:r>
            <w:r>
              <w:rPr>
                <w:rFonts w:hint="eastAsia" w:ascii="宋体" w:hAnsi="宋体" w:cs="新宋体"/>
                <w:color w:val="auto"/>
                <w:sz w:val="21"/>
                <w:szCs w:val="21"/>
                <w:highlight w:val="none"/>
              </w:rPr>
              <w:t>7.4沟通；</w:t>
            </w:r>
            <w:r>
              <w:rPr>
                <w:rFonts w:hint="eastAsia" w:ascii="宋体" w:hAnsi="宋体" w:eastAsia="宋体" w:cs="新宋体"/>
                <w:color w:val="auto"/>
                <w:sz w:val="21"/>
                <w:szCs w:val="21"/>
                <w:highlight w:val="none"/>
                <w:lang w:val="en-US" w:eastAsia="zh-CN"/>
              </w:rPr>
              <w:t>7.5.1文件化信息总则；9.1.1监测、分析和评价总则；</w:t>
            </w:r>
            <w:r>
              <w:rPr>
                <w:rFonts w:hint="eastAsia" w:ascii="宋体" w:hAnsi="宋体" w:cs="新宋体"/>
                <w:color w:val="auto"/>
                <w:sz w:val="21"/>
                <w:szCs w:val="21"/>
              </w:rPr>
              <w:t>9.2内部审核；</w:t>
            </w:r>
            <w:r>
              <w:rPr>
                <w:rFonts w:hint="eastAsia" w:ascii="宋体" w:hAnsi="宋体" w:eastAsia="宋体" w:cs="新宋体"/>
                <w:color w:val="auto"/>
                <w:sz w:val="21"/>
                <w:szCs w:val="21"/>
                <w:highlight w:val="none"/>
                <w:lang w:val="en-US" w:eastAsia="zh-CN"/>
              </w:rPr>
              <w:t>9.3管理评审；10.1改进 总则；</w:t>
            </w:r>
            <w:r>
              <w:rPr>
                <w:rFonts w:hint="eastAsia" w:ascii="宋体" w:hAnsi="宋体" w:cs="新宋体"/>
                <w:color w:val="auto"/>
                <w:sz w:val="21"/>
                <w:szCs w:val="21"/>
                <w:highlight w:val="none"/>
              </w:rPr>
              <w:t>10.2不符合和纠正措施；</w:t>
            </w:r>
            <w:r>
              <w:rPr>
                <w:rFonts w:hint="eastAsia" w:ascii="宋体" w:hAnsi="宋体" w:eastAsia="宋体" w:cs="新宋体"/>
                <w:color w:val="auto"/>
                <w:sz w:val="21"/>
                <w:szCs w:val="21"/>
                <w:highlight w:val="none"/>
                <w:lang w:val="en-US" w:eastAsia="zh-CN"/>
              </w:rPr>
              <w:t>10.3持续改进；</w:t>
            </w:r>
          </w:p>
          <w:p>
            <w:pPr>
              <w:spacing w:line="300" w:lineRule="exact"/>
              <w:rPr>
                <w:rFonts w:hint="eastAsia"/>
                <w:color w:val="auto"/>
                <w:sz w:val="21"/>
                <w:szCs w:val="21"/>
              </w:rPr>
            </w:pPr>
          </w:p>
        </w:tc>
        <w:tc>
          <w:tcPr>
            <w:tcW w:w="1077" w:type="dxa"/>
            <w:tcBorders>
              <w:right w:val="single" w:color="auto" w:sz="8" w:space="0"/>
            </w:tcBorders>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eastAsia="宋体" w:cs="Times New Roman"/>
                <w:b/>
                <w:bCs/>
                <w:color w:val="auto"/>
                <w:kern w:val="2"/>
                <w:sz w:val="18"/>
                <w:szCs w:val="18"/>
                <w:lang w:val="en-US" w:eastAsia="zh-CN" w:bidi="ar-SA"/>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73" w:type="dxa"/>
            <w:vAlign w:val="top"/>
          </w:tcPr>
          <w:p>
            <w:pPr>
              <w:snapToGrid w:val="0"/>
              <w:spacing w:line="280" w:lineRule="exact"/>
              <w:jc w:val="both"/>
              <w:rPr>
                <w:rFonts w:hint="eastAsia" w:ascii="宋体" w:hAnsi="宋体"/>
                <w:b/>
                <w:bCs/>
                <w:color w:val="auto"/>
                <w:sz w:val="21"/>
                <w:szCs w:val="21"/>
              </w:rPr>
            </w:pPr>
            <w:r>
              <w:rPr>
                <w:rFonts w:hint="eastAsia" w:ascii="宋体" w:hAnsi="宋体"/>
                <w:b/>
                <w:bCs/>
                <w:color w:val="auto"/>
                <w:sz w:val="21"/>
                <w:szCs w:val="21"/>
                <w:lang w:val="en-US" w:eastAsia="zh-CN"/>
              </w:rPr>
              <w:t>9</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1</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w:t>
            </w:r>
          </w:p>
          <w:p>
            <w:pPr>
              <w:snapToGrid w:val="0"/>
              <w:spacing w:line="320" w:lineRule="exact"/>
              <w:jc w:val="both"/>
              <w:rPr>
                <w:rFonts w:hint="eastAsia" w:ascii="宋体" w:hAnsi="宋体" w:cs="Times New Roman"/>
                <w:b/>
                <w:bCs/>
                <w:color w:val="auto"/>
                <w:kern w:val="2"/>
                <w:sz w:val="21"/>
                <w:szCs w:val="21"/>
                <w:lang w:val="en-US" w:eastAsia="zh-CN" w:bidi="ar-SA"/>
              </w:rPr>
            </w:pPr>
          </w:p>
        </w:tc>
        <w:tc>
          <w:tcPr>
            <w:tcW w:w="1158" w:type="dxa"/>
          </w:tcPr>
          <w:p>
            <w:pPr>
              <w:spacing w:line="3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管理层</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含</w:t>
            </w:r>
            <w:r>
              <w:rPr>
                <w:rFonts w:hint="eastAsia" w:ascii="宋体" w:hAnsi="宋体" w:cs="Times New Roman"/>
                <w:color w:val="auto"/>
                <w:sz w:val="21"/>
                <w:szCs w:val="21"/>
                <w:lang w:val="en-US" w:eastAsia="zh-CN"/>
              </w:rPr>
              <w:t>管代、</w:t>
            </w:r>
            <w:bookmarkStart w:id="33" w:name="_GoBack"/>
            <w:bookmarkEnd w:id="33"/>
            <w:r>
              <w:rPr>
                <w:rFonts w:hint="eastAsia" w:ascii="宋体" w:hAnsi="宋体" w:eastAsia="宋体" w:cs="Times New Roman"/>
                <w:color w:val="auto"/>
                <w:sz w:val="21"/>
                <w:szCs w:val="21"/>
                <w:lang w:val="en-US" w:eastAsia="zh-CN"/>
              </w:rPr>
              <w:t>安全事务代表）</w:t>
            </w:r>
          </w:p>
        </w:tc>
        <w:tc>
          <w:tcPr>
            <w:tcW w:w="5658" w:type="dxa"/>
          </w:tcPr>
          <w:p>
            <w:pPr>
              <w:spacing w:line="300" w:lineRule="exact"/>
              <w:rPr>
                <w:rFonts w:hint="eastAsia"/>
                <w:sz w:val="21"/>
                <w:szCs w:val="21"/>
              </w:rPr>
            </w:pPr>
            <w:r>
              <w:rPr>
                <w:rFonts w:hint="eastAsia"/>
                <w:sz w:val="21"/>
                <w:szCs w:val="21"/>
              </w:rPr>
              <w:t>EMS：4.1组织及其环境;4.2相关方需求与期望;4.3确定体系范围;4.4体系;5.1领导作用与承诺;5.2方针;5.3组织的角色、职责和权限；6.1.1策划总则；6.1.4措施的策划；6.2目标及其实现的策划；7.1资源；</w:t>
            </w:r>
            <w:r>
              <w:rPr>
                <w:rFonts w:hint="eastAsia"/>
                <w:sz w:val="21"/>
                <w:szCs w:val="21"/>
                <w:lang w:val="en-US" w:eastAsia="zh-CN"/>
              </w:rPr>
              <w:t>7.5.1</w:t>
            </w:r>
            <w:r>
              <w:rPr>
                <w:rFonts w:hint="eastAsia"/>
                <w:sz w:val="21"/>
                <w:szCs w:val="21"/>
              </w:rPr>
              <w:t>文件化信息</w:t>
            </w:r>
            <w:r>
              <w:rPr>
                <w:rFonts w:hint="eastAsia"/>
                <w:sz w:val="21"/>
                <w:szCs w:val="21"/>
                <w:lang w:val="en-US" w:eastAsia="zh-CN"/>
              </w:rPr>
              <w:t>总则；</w:t>
            </w:r>
            <w:r>
              <w:rPr>
                <w:rFonts w:hint="eastAsia"/>
                <w:sz w:val="21"/>
                <w:szCs w:val="21"/>
              </w:rPr>
              <w:t>9.1.1监测、分析和评估总则；</w:t>
            </w:r>
            <w:r>
              <w:rPr>
                <w:rFonts w:hint="eastAsia" w:ascii="宋体" w:hAnsi="宋体" w:cs="新宋体"/>
                <w:color w:val="auto"/>
                <w:sz w:val="21"/>
                <w:szCs w:val="21"/>
              </w:rPr>
              <w:t>9.2内部审核；</w:t>
            </w:r>
            <w:r>
              <w:rPr>
                <w:rFonts w:hint="eastAsia"/>
                <w:sz w:val="21"/>
                <w:szCs w:val="21"/>
              </w:rPr>
              <w:t>9.3管理评审；10.1改进 总则；</w:t>
            </w:r>
            <w:r>
              <w:rPr>
                <w:rFonts w:hint="eastAsia" w:ascii="宋体" w:hAnsi="宋体" w:cs="新宋体"/>
                <w:color w:val="auto"/>
                <w:sz w:val="21"/>
                <w:szCs w:val="21"/>
                <w:highlight w:val="none"/>
              </w:rPr>
              <w:t>10.2不符合和纠正措施；</w:t>
            </w:r>
            <w:r>
              <w:rPr>
                <w:rFonts w:hint="eastAsia"/>
                <w:sz w:val="21"/>
                <w:szCs w:val="21"/>
              </w:rPr>
              <w:t>10.3持续改进。</w:t>
            </w:r>
          </w:p>
          <w:p>
            <w:pPr>
              <w:spacing w:line="300" w:lineRule="exact"/>
              <w:rPr>
                <w:rFonts w:hint="eastAsia" w:ascii="宋体" w:hAnsi="宋体" w:eastAsia="宋体" w:cs="新宋体"/>
                <w:color w:val="auto"/>
                <w:sz w:val="21"/>
                <w:szCs w:val="21"/>
                <w:highlight w:val="none"/>
              </w:rPr>
            </w:pPr>
            <w:r>
              <w:rPr>
                <w:rFonts w:hint="eastAsia" w:ascii="宋体" w:hAnsi="宋体" w:eastAsia="宋体" w:cs="新宋体"/>
                <w:color w:val="auto"/>
                <w:sz w:val="21"/>
                <w:szCs w:val="21"/>
                <w:highlight w:val="none"/>
                <w:lang w:val="en-US" w:eastAsia="zh-CN"/>
              </w:rPr>
              <w:t>OHSMS</w:t>
            </w:r>
            <w:r>
              <w:rPr>
                <w:rFonts w:hint="eastAsia" w:ascii="宋体" w:hAnsi="宋体" w:eastAsia="宋体" w:cs="新宋体"/>
                <w:color w:val="auto"/>
                <w:sz w:val="21"/>
                <w:szCs w:val="21"/>
                <w:highlight w:val="none"/>
              </w:rPr>
              <w:t>：4.1组织及其环境;4.2相关方需求与期望;4.3确定体系范围;4.4体系;5.1领导作用与承诺;5.2方针;5.3组织的角色、职责和权限；5.4工作人员的协商和参与；6.1应对风险和机遇的措施；6.1.4措施的策划；6.2目标及其实现的策划；7.1资源；</w:t>
            </w:r>
            <w:r>
              <w:rPr>
                <w:rFonts w:hint="eastAsia" w:ascii="宋体" w:hAnsi="宋体" w:eastAsia="宋体" w:cs="新宋体"/>
                <w:color w:val="auto"/>
                <w:sz w:val="21"/>
                <w:szCs w:val="21"/>
                <w:highlight w:val="none"/>
                <w:lang w:val="en-US" w:eastAsia="zh-CN"/>
              </w:rPr>
              <w:t>7.5.1</w:t>
            </w:r>
            <w:r>
              <w:rPr>
                <w:rFonts w:hint="eastAsia" w:ascii="宋体" w:hAnsi="宋体" w:eastAsia="宋体" w:cs="新宋体"/>
                <w:color w:val="auto"/>
                <w:sz w:val="21"/>
                <w:szCs w:val="21"/>
                <w:highlight w:val="none"/>
              </w:rPr>
              <w:t>文件化信息</w:t>
            </w:r>
            <w:r>
              <w:rPr>
                <w:rFonts w:hint="eastAsia" w:ascii="宋体" w:hAnsi="宋体" w:eastAsia="宋体" w:cs="新宋体"/>
                <w:color w:val="auto"/>
                <w:sz w:val="21"/>
                <w:szCs w:val="21"/>
                <w:highlight w:val="none"/>
                <w:lang w:val="en-US" w:eastAsia="zh-CN"/>
              </w:rPr>
              <w:t>总则；</w:t>
            </w:r>
            <w:r>
              <w:rPr>
                <w:rFonts w:hint="eastAsia" w:ascii="宋体" w:hAnsi="宋体" w:eastAsia="宋体" w:cs="新宋体"/>
                <w:color w:val="auto"/>
                <w:sz w:val="21"/>
                <w:szCs w:val="21"/>
                <w:highlight w:val="none"/>
              </w:rPr>
              <w:t>9.1监视、测量、分析和评价；</w:t>
            </w:r>
            <w:r>
              <w:rPr>
                <w:rFonts w:hint="eastAsia" w:ascii="宋体" w:hAnsi="宋体" w:cs="新宋体"/>
                <w:color w:val="auto"/>
                <w:sz w:val="21"/>
                <w:szCs w:val="21"/>
              </w:rPr>
              <w:t>9.2内部审核；</w:t>
            </w:r>
            <w:r>
              <w:rPr>
                <w:rFonts w:hint="eastAsia" w:ascii="宋体" w:hAnsi="宋体" w:eastAsia="宋体" w:cs="新宋体"/>
                <w:color w:val="auto"/>
                <w:sz w:val="21"/>
                <w:szCs w:val="21"/>
                <w:highlight w:val="none"/>
              </w:rPr>
              <w:t>9.3管理评审；10.1事件、不符合和纠正措施；</w:t>
            </w:r>
            <w:r>
              <w:rPr>
                <w:rFonts w:hint="eastAsia" w:ascii="宋体" w:hAnsi="宋体" w:cs="新宋体"/>
                <w:color w:val="auto"/>
                <w:sz w:val="21"/>
                <w:szCs w:val="21"/>
                <w:highlight w:val="none"/>
              </w:rPr>
              <w:t>10.2不符合和纠正措施；</w:t>
            </w:r>
            <w:r>
              <w:rPr>
                <w:rFonts w:hint="eastAsia" w:ascii="宋体" w:hAnsi="宋体" w:eastAsia="宋体" w:cs="新宋体"/>
                <w:color w:val="auto"/>
                <w:sz w:val="21"/>
                <w:szCs w:val="21"/>
                <w:highlight w:val="none"/>
              </w:rPr>
              <w:t>10.</w:t>
            </w:r>
            <w:r>
              <w:rPr>
                <w:rFonts w:hint="eastAsia" w:ascii="宋体" w:hAnsi="宋体" w:eastAsia="宋体" w:cs="新宋体"/>
                <w:color w:val="auto"/>
                <w:sz w:val="21"/>
                <w:szCs w:val="21"/>
                <w:highlight w:val="none"/>
                <w:lang w:val="en-US" w:eastAsia="zh-CN"/>
              </w:rPr>
              <w:t>3</w:t>
            </w:r>
            <w:r>
              <w:rPr>
                <w:rFonts w:hint="eastAsia" w:ascii="宋体" w:hAnsi="宋体" w:eastAsia="宋体" w:cs="新宋体"/>
                <w:color w:val="auto"/>
                <w:sz w:val="21"/>
                <w:szCs w:val="21"/>
                <w:highlight w:val="none"/>
              </w:rPr>
              <w:t>持续改进。</w:t>
            </w:r>
          </w:p>
          <w:p>
            <w:pPr>
              <w:snapToGrid w:val="0"/>
              <w:spacing w:line="240" w:lineRule="exact"/>
              <w:rPr>
                <w:rFonts w:hint="eastAsia" w:ascii="宋体" w:hAnsi="宋体" w:cs="新宋体"/>
                <w:color w:val="auto"/>
                <w:sz w:val="21"/>
                <w:szCs w:val="21"/>
              </w:rPr>
            </w:pPr>
          </w:p>
          <w:p>
            <w:pPr>
              <w:pStyle w:val="2"/>
              <w:rPr>
                <w:rFonts w:hint="eastAsia"/>
                <w:sz w:val="21"/>
                <w:szCs w:val="21"/>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tc>
        <w:tc>
          <w:tcPr>
            <w:tcW w:w="1077" w:type="dxa"/>
            <w:tcBorders>
              <w:right w:val="single" w:color="auto" w:sz="8" w:space="0"/>
            </w:tcBorders>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eastAsia="宋体" w:cs="Times New Roman"/>
                <w:b/>
                <w:bCs/>
                <w:color w:val="auto"/>
                <w:kern w:val="2"/>
                <w:sz w:val="18"/>
                <w:szCs w:val="18"/>
                <w:lang w:val="en-US" w:eastAsia="zh-CN" w:bidi="ar-SA"/>
              </w:rPr>
              <w:t>杨珍全/微信/视频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73" w:type="dxa"/>
          </w:tcPr>
          <w:p>
            <w:pPr>
              <w:snapToGrid w:val="0"/>
              <w:spacing w:line="320" w:lineRule="exact"/>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10：30-12：00</w:t>
            </w:r>
          </w:p>
        </w:tc>
        <w:tc>
          <w:tcPr>
            <w:tcW w:w="1158" w:type="dxa"/>
            <w:vAlign w:val="top"/>
          </w:tcPr>
          <w:p>
            <w:pPr>
              <w:spacing w:line="300" w:lineRule="exact"/>
              <w:rPr>
                <w:rFonts w:hint="default" w:ascii="宋体" w:hAnsi="宋体" w:eastAsia="宋体" w:cs="Times New Roman"/>
                <w:b/>
                <w:bCs/>
                <w:color w:val="auto"/>
                <w:kern w:val="2"/>
                <w:sz w:val="21"/>
                <w:szCs w:val="21"/>
                <w:lang w:val="en-US" w:eastAsia="zh-CN" w:bidi="ar-SA"/>
              </w:rPr>
            </w:pPr>
            <w:r>
              <w:rPr>
                <w:rFonts w:hint="eastAsia" w:ascii="宋体" w:hAnsi="宋体" w:cs="新宋体"/>
                <w:color w:val="auto"/>
                <w:sz w:val="21"/>
                <w:szCs w:val="21"/>
                <w:lang w:val="en-US" w:eastAsia="zh-CN"/>
              </w:rPr>
              <w:t>行政</w:t>
            </w:r>
            <w:r>
              <w:rPr>
                <w:rFonts w:hint="eastAsia" w:ascii="宋体" w:hAnsi="宋体" w:cs="新宋体"/>
                <w:color w:val="auto"/>
                <w:sz w:val="21"/>
                <w:szCs w:val="21"/>
                <w:lang w:eastAsia="zh-CN"/>
              </w:rPr>
              <w:t>部</w:t>
            </w:r>
          </w:p>
        </w:tc>
        <w:tc>
          <w:tcPr>
            <w:tcW w:w="5658" w:type="dxa"/>
            <w:vAlign w:val="top"/>
          </w:tcPr>
          <w:p>
            <w:pPr>
              <w:snapToGrid w:val="0"/>
              <w:spacing w:line="240" w:lineRule="exac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QMS</w:t>
            </w:r>
            <w:r>
              <w:rPr>
                <w:rFonts w:hint="eastAsia" w:ascii="宋体" w:hAnsi="宋体" w:cs="新宋体"/>
                <w:color w:val="auto"/>
                <w:sz w:val="21"/>
                <w:szCs w:val="21"/>
                <w:lang w:eastAsia="zh-CN"/>
              </w:rPr>
              <w:t>：</w:t>
            </w:r>
            <w:r>
              <w:rPr>
                <w:rFonts w:hint="eastAsia" w:ascii="宋体" w:hAnsi="宋体" w:cs="新宋体"/>
                <w:color w:val="auto"/>
                <w:sz w:val="21"/>
                <w:szCs w:val="21"/>
              </w:rPr>
              <w:t>5.3岗位/职</w:t>
            </w:r>
            <w:r>
              <w:rPr>
                <w:rFonts w:hint="eastAsia" w:ascii="宋体" w:hAnsi="宋体" w:cs="新宋体"/>
                <w:color w:val="auto"/>
                <w:sz w:val="21"/>
                <w:szCs w:val="21"/>
                <w:highlight w:val="none"/>
              </w:rPr>
              <w:t>责 /权限；6.2质量目标及其实现的策划；</w:t>
            </w:r>
            <w:r>
              <w:rPr>
                <w:rFonts w:hint="eastAsia" w:ascii="宋体" w:hAnsi="宋体" w:eastAsia="宋体" w:cs="新宋体"/>
                <w:color w:val="auto"/>
                <w:sz w:val="21"/>
                <w:szCs w:val="21"/>
                <w:highlight w:val="none"/>
                <w:lang w:val="en-US" w:eastAsia="zh-CN"/>
              </w:rPr>
              <w:t>7.1.2人员；</w:t>
            </w:r>
            <w:r>
              <w:rPr>
                <w:rFonts w:hint="eastAsia" w:ascii="宋体" w:hAnsi="宋体" w:cs="新宋体"/>
                <w:color w:val="auto"/>
                <w:sz w:val="21"/>
                <w:szCs w:val="21"/>
                <w:highlight w:val="none"/>
              </w:rPr>
              <w:t>7.2能力；7.3意识；7.5文件化信息；</w:t>
            </w:r>
          </w:p>
        </w:tc>
        <w:tc>
          <w:tcPr>
            <w:tcW w:w="1077" w:type="dxa"/>
            <w:tcBorders>
              <w:right w:val="single" w:color="auto" w:sz="8" w:space="0"/>
            </w:tcBorders>
            <w:vAlign w:val="top"/>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eastAsia="宋体" w:cs="Times New Roman"/>
                <w:b/>
                <w:bCs/>
                <w:color w:val="auto"/>
                <w:kern w:val="2"/>
                <w:sz w:val="18"/>
                <w:szCs w:val="18"/>
                <w:lang w:val="en-US" w:eastAsia="zh-CN" w:bidi="ar-SA"/>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1"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73" w:type="dxa"/>
          </w:tcPr>
          <w:p>
            <w:pPr>
              <w:snapToGrid w:val="0"/>
              <w:spacing w:line="280" w:lineRule="exact"/>
              <w:jc w:val="both"/>
              <w:rPr>
                <w:rFonts w:hint="eastAsia" w:ascii="宋体" w:hAnsi="宋体"/>
                <w:b/>
                <w:bCs/>
                <w:color w:val="auto"/>
                <w:sz w:val="21"/>
                <w:szCs w:val="21"/>
              </w:rPr>
            </w:pPr>
            <w:r>
              <w:rPr>
                <w:rFonts w:hint="eastAsia" w:ascii="宋体" w:hAnsi="宋体"/>
                <w:b/>
                <w:bCs/>
                <w:color w:val="auto"/>
                <w:sz w:val="21"/>
                <w:szCs w:val="21"/>
                <w:lang w:val="en-US" w:eastAsia="zh-CN"/>
              </w:rPr>
              <w:t>11</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0-1</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w:t>
            </w:r>
          </w:p>
          <w:p>
            <w:pPr>
              <w:snapToGrid w:val="0"/>
              <w:spacing w:line="320" w:lineRule="exact"/>
              <w:jc w:val="both"/>
              <w:rPr>
                <w:rFonts w:hint="eastAsia" w:ascii="宋体" w:hAnsi="宋体" w:cs="Times New Roman"/>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lang w:val="en-US" w:eastAsia="zh-CN" w:bidi="ar-SA"/>
              </w:rPr>
              <w:t>(午休</w:t>
            </w:r>
          </w:p>
          <w:p>
            <w:pPr>
              <w:snapToGrid w:val="0"/>
              <w:spacing w:line="320" w:lineRule="exact"/>
              <w:rPr>
                <w:rFonts w:hint="default" w:ascii="宋体" w:hAnsi="宋体" w:eastAsia="宋体"/>
                <w:b/>
                <w:bCs/>
                <w:color w:val="auto"/>
                <w:sz w:val="21"/>
                <w:szCs w:val="21"/>
                <w:lang w:val="en-US" w:eastAsia="zh-CN"/>
              </w:rPr>
            </w:pPr>
            <w:r>
              <w:rPr>
                <w:rFonts w:hint="eastAsia" w:ascii="宋体" w:hAnsi="宋体" w:cs="Times New Roman"/>
                <w:b/>
                <w:bCs/>
                <w:color w:val="auto"/>
                <w:kern w:val="2"/>
                <w:sz w:val="21"/>
                <w:szCs w:val="21"/>
                <w:highlight w:val="none"/>
                <w:lang w:val="en-US" w:eastAsia="zh-CN" w:bidi="ar-SA"/>
              </w:rPr>
              <w:t>12:00-13:00）</w:t>
            </w:r>
          </w:p>
        </w:tc>
        <w:tc>
          <w:tcPr>
            <w:tcW w:w="1158" w:type="dxa"/>
            <w:vAlign w:val="top"/>
          </w:tcPr>
          <w:p>
            <w:pPr>
              <w:spacing w:line="300" w:lineRule="exact"/>
              <w:rPr>
                <w:rFonts w:hint="eastAsia" w:ascii="宋体" w:hAnsi="宋体" w:cs="新宋体"/>
                <w:color w:val="auto"/>
                <w:sz w:val="21"/>
                <w:szCs w:val="21"/>
                <w:lang w:eastAsia="zh-CN"/>
              </w:rPr>
            </w:pPr>
            <w:r>
              <w:rPr>
                <w:rFonts w:hint="eastAsia" w:ascii="宋体" w:hAnsi="宋体" w:cs="新宋体"/>
                <w:color w:val="auto"/>
                <w:sz w:val="21"/>
                <w:szCs w:val="21"/>
                <w:lang w:val="en-US" w:eastAsia="zh-CN"/>
              </w:rPr>
              <w:t>行政</w:t>
            </w:r>
            <w:r>
              <w:rPr>
                <w:rFonts w:hint="eastAsia" w:ascii="宋体" w:hAnsi="宋体" w:cs="新宋体"/>
                <w:color w:val="auto"/>
                <w:sz w:val="21"/>
                <w:szCs w:val="21"/>
                <w:lang w:eastAsia="zh-CN"/>
              </w:rPr>
              <w:t>部</w:t>
            </w:r>
          </w:p>
        </w:tc>
        <w:tc>
          <w:tcPr>
            <w:tcW w:w="5658" w:type="dxa"/>
            <w:vAlign w:val="top"/>
          </w:tcPr>
          <w:p>
            <w:pPr>
              <w:rPr>
                <w:rFonts w:hint="eastAsia" w:ascii="宋体" w:hAnsi="宋体" w:cs="新宋体"/>
                <w:color w:val="auto"/>
                <w:sz w:val="21"/>
                <w:szCs w:val="21"/>
                <w:highlight w:val="none"/>
              </w:rPr>
            </w:pPr>
            <w:r>
              <w:rPr>
                <w:rFonts w:hint="eastAsia" w:ascii="宋体" w:hAnsi="宋体" w:cs="新宋体"/>
                <w:color w:val="auto"/>
                <w:sz w:val="21"/>
                <w:szCs w:val="21"/>
                <w:highlight w:val="none"/>
              </w:rPr>
              <w:t>EMS</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5.3组织的角色、职责和权限;；6.1.2环境因素；6.1.3合规义务</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cs="新宋体"/>
                <w:color w:val="auto"/>
                <w:sz w:val="21"/>
                <w:szCs w:val="21"/>
                <w:highlight w:val="none"/>
              </w:rPr>
            </w:pPr>
            <w:r>
              <w:rPr>
                <w:rFonts w:hint="eastAsia" w:ascii="宋体" w:hAnsi="宋体" w:cs="新宋体"/>
                <w:color w:val="auto"/>
                <w:sz w:val="21"/>
                <w:szCs w:val="21"/>
                <w:highlight w:val="none"/>
                <w:lang w:val="en-US" w:eastAsia="zh-CN"/>
              </w:rPr>
              <w:t>OHSMS：</w:t>
            </w:r>
            <w:r>
              <w:rPr>
                <w:rFonts w:hint="eastAsia" w:ascii="宋体" w:hAnsi="宋体" w:cs="新宋体"/>
                <w:color w:val="auto"/>
                <w:sz w:val="21"/>
                <w:szCs w:val="21"/>
                <w:highlight w:val="none"/>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w:t>
            </w:r>
            <w:r>
              <w:rPr>
                <w:rFonts w:hint="eastAsia" w:ascii="宋体" w:hAnsi="宋体" w:cs="新宋体"/>
                <w:color w:val="auto"/>
                <w:sz w:val="21"/>
                <w:szCs w:val="21"/>
                <w:highlight w:val="none"/>
                <w:lang w:val="en-US" w:eastAsia="zh-CN"/>
              </w:rPr>
              <w:t>2</w:t>
            </w:r>
            <w:r>
              <w:rPr>
                <w:rFonts w:hint="eastAsia" w:ascii="宋体" w:hAnsi="宋体" w:cs="新宋体"/>
                <w:color w:val="auto"/>
                <w:sz w:val="21"/>
                <w:szCs w:val="21"/>
                <w:highlight w:val="none"/>
              </w:rPr>
              <w:t>事件、不符合和纠正措施；10.</w:t>
            </w:r>
            <w:r>
              <w:rPr>
                <w:rFonts w:hint="eastAsia" w:ascii="宋体" w:hAnsi="宋体" w:cs="新宋体"/>
                <w:color w:val="auto"/>
                <w:sz w:val="21"/>
                <w:szCs w:val="21"/>
                <w:highlight w:val="none"/>
                <w:lang w:val="en-US" w:eastAsia="zh-CN"/>
              </w:rPr>
              <w:t>3</w:t>
            </w:r>
            <w:r>
              <w:rPr>
                <w:rFonts w:hint="eastAsia" w:ascii="宋体" w:hAnsi="宋体" w:cs="新宋体"/>
                <w:color w:val="auto"/>
                <w:sz w:val="21"/>
                <w:szCs w:val="21"/>
                <w:highlight w:val="none"/>
              </w:rPr>
              <w:t>持续改进/OHSMS运行控制财务支出证据。</w:t>
            </w:r>
          </w:p>
        </w:tc>
        <w:tc>
          <w:tcPr>
            <w:tcW w:w="1077" w:type="dxa"/>
            <w:tcBorders>
              <w:right w:val="single" w:color="auto" w:sz="8" w:space="0"/>
            </w:tcBorders>
            <w:vAlign w:val="top"/>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eastAsia="宋体" w:cs="Times New Roman"/>
                <w:b/>
                <w:bCs/>
                <w:color w:val="auto"/>
                <w:kern w:val="2"/>
                <w:sz w:val="18"/>
                <w:szCs w:val="18"/>
                <w:lang w:val="en-US" w:eastAsia="zh-CN" w:bidi="ar-SA"/>
              </w:rPr>
              <w:t>杨珍全/微信/视频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1011" w:type="dxa"/>
            <w:vMerge w:val="continue"/>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p>
        </w:tc>
        <w:tc>
          <w:tcPr>
            <w:tcW w:w="1473" w:type="dxa"/>
            <w:vAlign w:val="top"/>
          </w:tcPr>
          <w:p>
            <w:pPr>
              <w:snapToGrid w:val="0"/>
              <w:spacing w:line="320" w:lineRule="exact"/>
              <w:jc w:val="both"/>
              <w:rPr>
                <w:rFonts w:hint="eastAsia" w:ascii="宋体" w:hAnsi="宋体"/>
                <w:b/>
                <w:bCs/>
                <w:color w:val="auto"/>
                <w:sz w:val="21"/>
                <w:szCs w:val="21"/>
              </w:rPr>
            </w:pPr>
            <w:r>
              <w:rPr>
                <w:rFonts w:hint="eastAsia" w:ascii="宋体" w:hAnsi="宋体"/>
                <w:b/>
                <w:bCs/>
                <w:color w:val="auto"/>
                <w:sz w:val="21"/>
                <w:szCs w:val="21"/>
                <w:lang w:val="en-US" w:eastAsia="zh-CN"/>
              </w:rPr>
              <w:t>13</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7</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w:t>
            </w:r>
          </w:p>
          <w:p>
            <w:pPr>
              <w:snapToGrid w:val="0"/>
              <w:spacing w:line="320" w:lineRule="exact"/>
              <w:jc w:val="both"/>
              <w:rPr>
                <w:rFonts w:hint="default" w:ascii="宋体" w:hAnsi="宋体" w:cs="Times New Roman"/>
                <w:b/>
                <w:bCs/>
                <w:color w:val="auto"/>
                <w:kern w:val="2"/>
                <w:sz w:val="21"/>
                <w:szCs w:val="21"/>
                <w:lang w:val="en-US" w:eastAsia="zh-CN" w:bidi="ar-SA"/>
              </w:rPr>
            </w:pPr>
          </w:p>
        </w:tc>
        <w:tc>
          <w:tcPr>
            <w:tcW w:w="1158" w:type="dxa"/>
            <w:vAlign w:val="top"/>
          </w:tcPr>
          <w:p>
            <w:pPr>
              <w:spacing w:line="300" w:lineRule="exact"/>
              <w:rPr>
                <w:rFonts w:hint="default" w:ascii="宋体" w:hAnsi="宋体" w:eastAsia="宋体" w:cs="新宋体"/>
                <w:color w:val="auto"/>
                <w:kern w:val="2"/>
                <w:sz w:val="21"/>
                <w:szCs w:val="21"/>
                <w:lang w:val="en-US" w:eastAsia="zh-CN" w:bidi="ar-SA"/>
              </w:rPr>
            </w:pPr>
            <w:r>
              <w:rPr>
                <w:rFonts w:hint="eastAsia" w:ascii="宋体" w:hAnsi="宋体" w:eastAsia="宋体" w:cs="新宋体"/>
                <w:color w:val="auto"/>
                <w:kern w:val="2"/>
                <w:sz w:val="21"/>
                <w:szCs w:val="21"/>
                <w:lang w:val="en-US" w:eastAsia="zh-CN" w:bidi="ar-SA"/>
              </w:rPr>
              <w:t>销售部</w:t>
            </w:r>
          </w:p>
        </w:tc>
        <w:tc>
          <w:tcPr>
            <w:tcW w:w="5658" w:type="dxa"/>
            <w:vAlign w:val="top"/>
          </w:tcPr>
          <w:p>
            <w:pPr>
              <w:snapToGrid w:val="0"/>
              <w:spacing w:line="320" w:lineRule="exact"/>
              <w:rPr>
                <w:rFonts w:ascii="宋体" w:hAnsi="宋体" w:eastAsia="宋体" w:cs="新宋体"/>
                <w:color w:val="auto"/>
                <w:kern w:val="2"/>
                <w:sz w:val="21"/>
                <w:szCs w:val="21"/>
                <w:lang w:val="en-US" w:eastAsia="zh-CN" w:bidi="ar-SA"/>
              </w:rPr>
            </w:pPr>
            <w:r>
              <w:rPr>
                <w:rFonts w:hint="eastAsia" w:ascii="宋体" w:hAnsi="宋体" w:eastAsia="宋体" w:cs="新宋体"/>
                <w:color w:val="auto"/>
                <w:sz w:val="21"/>
                <w:szCs w:val="21"/>
              </w:rPr>
              <w:t>QMS</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5.3岗位/职责 /权限；6.2质量目标及其实现的策划；7.1.3基础设施；7.1.4过程运行环境；7.1.5监视和测量设备；</w:t>
            </w:r>
            <w:r>
              <w:rPr>
                <w:rFonts w:hint="eastAsia" w:ascii="宋体" w:hAnsi="宋体" w:cs="新宋体"/>
                <w:color w:val="auto"/>
                <w:sz w:val="21"/>
                <w:szCs w:val="21"/>
              </w:rPr>
              <w:t>8.1运行策划和控制；</w:t>
            </w:r>
            <w:r>
              <w:rPr>
                <w:rFonts w:hint="eastAsia" w:ascii="宋体" w:hAnsi="宋体" w:eastAsia="宋体" w:cs="新宋体"/>
                <w:color w:val="auto"/>
                <w:sz w:val="21"/>
                <w:szCs w:val="21"/>
              </w:rPr>
              <w:t>8.2产品和服务的要求；</w:t>
            </w:r>
            <w:r>
              <w:rPr>
                <w:rFonts w:hint="eastAsia" w:ascii="宋体" w:hAnsi="宋体" w:cs="新宋体"/>
                <w:color w:val="auto"/>
                <w:sz w:val="21"/>
                <w:szCs w:val="21"/>
              </w:rPr>
              <w:t>8.3设计开发控制</w:t>
            </w:r>
            <w:r>
              <w:rPr>
                <w:rFonts w:hint="eastAsia" w:ascii="宋体" w:hAnsi="宋体" w:cs="新宋体"/>
                <w:color w:val="auto"/>
                <w:sz w:val="21"/>
                <w:szCs w:val="21"/>
                <w:lang w:val="en-US" w:eastAsia="zh-CN"/>
              </w:rPr>
              <w:t>/不适用验证</w:t>
            </w:r>
            <w:r>
              <w:rPr>
                <w:rFonts w:hint="eastAsia" w:ascii="宋体" w:hAnsi="宋体" w:cs="新宋体"/>
                <w:color w:val="auto"/>
                <w:sz w:val="21"/>
                <w:szCs w:val="21"/>
              </w:rPr>
              <w:t>；8.4外部提供供方的控制；8.5.1生产和服务提供的控制；8.5.2标识和可追溯性；8.5.3顾客或外部供方的财产；8.5.4防护；8.5.5交付后的活动；8.5.6更改控制，8.6产品和服务放行；8.7不合格输出的控制；</w:t>
            </w:r>
            <w:r>
              <w:rPr>
                <w:rFonts w:hint="eastAsia" w:ascii="宋体" w:hAnsi="宋体" w:eastAsia="宋体" w:cs="新宋体"/>
                <w:color w:val="auto"/>
                <w:sz w:val="21"/>
                <w:szCs w:val="21"/>
              </w:rPr>
              <w:t>9.1.2顾客满意；</w:t>
            </w:r>
            <w:r>
              <w:rPr>
                <w:rFonts w:hint="eastAsia" w:ascii="宋体" w:hAnsi="宋体" w:eastAsia="宋体" w:cs="新宋体"/>
                <w:color w:val="auto"/>
                <w:sz w:val="21"/>
                <w:szCs w:val="21"/>
                <w:highlight w:val="none"/>
                <w:lang w:val="en-US" w:eastAsia="zh-CN"/>
              </w:rPr>
              <w:t>9.1.3分析和评价；</w:t>
            </w:r>
          </w:p>
        </w:tc>
        <w:tc>
          <w:tcPr>
            <w:tcW w:w="1077" w:type="dxa"/>
            <w:tcBorders>
              <w:right w:val="single" w:color="auto" w:sz="8" w:space="0"/>
            </w:tcBorders>
            <w:vAlign w:val="top"/>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eastAsia="宋体" w:cs="Times New Roman"/>
                <w:b/>
                <w:bCs/>
                <w:color w:val="auto"/>
                <w:kern w:val="2"/>
                <w:sz w:val="18"/>
                <w:szCs w:val="18"/>
                <w:lang w:val="en-US" w:eastAsia="zh-CN" w:bidi="ar-SA"/>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473" w:type="dxa"/>
            <w:vAlign w:val="top"/>
          </w:tcPr>
          <w:p>
            <w:pPr>
              <w:snapToGrid w:val="0"/>
              <w:spacing w:line="280" w:lineRule="exact"/>
              <w:jc w:val="both"/>
              <w:rPr>
                <w:rFonts w:hint="eastAsia" w:ascii="宋体" w:hAnsi="宋体"/>
                <w:b/>
                <w:bCs/>
                <w:color w:val="auto"/>
                <w:sz w:val="21"/>
                <w:szCs w:val="21"/>
              </w:rPr>
            </w:pPr>
            <w:r>
              <w:rPr>
                <w:rFonts w:hint="eastAsia" w:ascii="宋体" w:hAnsi="宋体"/>
                <w:b/>
                <w:bCs/>
                <w:color w:val="auto"/>
                <w:sz w:val="21"/>
                <w:szCs w:val="21"/>
                <w:lang w:val="en-US" w:eastAsia="zh-CN"/>
              </w:rPr>
              <w:t>15</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7</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w:t>
            </w:r>
          </w:p>
          <w:p>
            <w:pPr>
              <w:snapToGrid w:val="0"/>
              <w:spacing w:line="320" w:lineRule="exact"/>
              <w:rPr>
                <w:rFonts w:hint="default" w:ascii="宋体" w:hAnsi="宋体" w:cs="Times New Roman"/>
                <w:b/>
                <w:bCs/>
                <w:color w:val="auto"/>
                <w:kern w:val="2"/>
                <w:sz w:val="21"/>
                <w:szCs w:val="21"/>
                <w:lang w:val="en-US" w:eastAsia="zh-CN" w:bidi="ar-SA"/>
              </w:rPr>
            </w:pPr>
          </w:p>
        </w:tc>
        <w:tc>
          <w:tcPr>
            <w:tcW w:w="1158" w:type="dxa"/>
            <w:vAlign w:val="top"/>
          </w:tcPr>
          <w:p>
            <w:pPr>
              <w:spacing w:line="300" w:lineRule="exac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销售部</w:t>
            </w:r>
          </w:p>
        </w:tc>
        <w:tc>
          <w:tcPr>
            <w:tcW w:w="5658" w:type="dxa"/>
            <w:vAlign w:val="top"/>
          </w:tcPr>
          <w:p>
            <w:pPr>
              <w:rPr>
                <w:rFonts w:hint="eastAsia" w:ascii="宋体" w:hAnsi="宋体" w:eastAsia="宋体" w:cs="新宋体"/>
                <w:color w:val="auto"/>
                <w:sz w:val="21"/>
                <w:szCs w:val="21"/>
                <w:lang w:val="en-US" w:eastAsia="zh-CN"/>
              </w:rPr>
            </w:pPr>
            <w:r>
              <w:rPr>
                <w:rFonts w:hint="eastAsia" w:ascii="宋体" w:hAnsi="宋体" w:cs="新宋体"/>
                <w:color w:val="auto"/>
                <w:sz w:val="21"/>
                <w:szCs w:val="21"/>
              </w:rPr>
              <w:t>EMS</w:t>
            </w:r>
            <w:r>
              <w:rPr>
                <w:rFonts w:hint="eastAsia" w:ascii="宋体" w:hAnsi="宋体" w:cs="新宋体"/>
                <w:color w:val="auto"/>
                <w:sz w:val="21"/>
                <w:szCs w:val="21"/>
                <w:lang w:eastAsia="zh-CN"/>
              </w:rPr>
              <w:t>：</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6.1.2环境因素；7.4沟通；8.1运行策划和控制；8.2应急准备和响应</w:t>
            </w:r>
            <w:r>
              <w:rPr>
                <w:rFonts w:hint="eastAsia" w:ascii="宋体" w:hAnsi="宋体" w:cs="新宋体"/>
                <w:color w:val="auto"/>
                <w:sz w:val="21"/>
                <w:szCs w:val="21"/>
                <w:lang w:val="en-US" w:eastAsia="zh-CN"/>
              </w:rPr>
              <w:t>；</w:t>
            </w:r>
          </w:p>
          <w:p>
            <w:pPr>
              <w:snapToGrid w:val="0"/>
              <w:spacing w:line="240" w:lineRule="exact"/>
              <w:rPr>
                <w:rFonts w:hint="eastAsia" w:ascii="宋体" w:hAnsi="宋体" w:cs="新宋体"/>
                <w:color w:val="auto"/>
                <w:sz w:val="21"/>
                <w:szCs w:val="21"/>
              </w:rPr>
            </w:pPr>
          </w:p>
          <w:p>
            <w:pPr>
              <w:spacing w:line="300" w:lineRule="exact"/>
              <w:rPr>
                <w:rFonts w:hint="eastAsia" w:ascii="宋体" w:hAnsi="宋体" w:cs="新宋体"/>
                <w:color w:val="auto"/>
                <w:sz w:val="21"/>
                <w:szCs w:val="21"/>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6.1.2危险源辨识和职业安全风险评价；7.4信息和沟通；8.1运行策划和控制；8.2应急准备和响应；</w:t>
            </w:r>
          </w:p>
        </w:tc>
        <w:tc>
          <w:tcPr>
            <w:tcW w:w="1077" w:type="dxa"/>
            <w:tcBorders>
              <w:right w:val="single" w:color="auto" w:sz="8" w:space="0"/>
            </w:tcBorders>
            <w:vAlign w:val="top"/>
          </w:tcPr>
          <w:p>
            <w:pPr>
              <w:snapToGrid w:val="0"/>
              <w:spacing w:line="320" w:lineRule="exact"/>
              <w:rPr>
                <w:rFonts w:hint="eastAsia" w:ascii="宋体" w:hAnsi="宋体" w:eastAsia="宋体" w:cs="Times New Roman"/>
                <w:b/>
                <w:bCs/>
                <w:color w:val="auto"/>
                <w:kern w:val="2"/>
                <w:sz w:val="18"/>
                <w:szCs w:val="18"/>
                <w:lang w:val="en-US" w:eastAsia="zh-CN" w:bidi="ar-SA"/>
              </w:rPr>
            </w:pPr>
            <w:r>
              <w:rPr>
                <w:rFonts w:hint="eastAsia" w:ascii="宋体" w:hAnsi="宋体" w:eastAsia="宋体" w:cs="Times New Roman"/>
                <w:b/>
                <w:bCs/>
                <w:color w:val="auto"/>
                <w:kern w:val="2"/>
                <w:sz w:val="18"/>
                <w:szCs w:val="18"/>
                <w:lang w:val="en-US" w:eastAsia="zh-CN" w:bidi="ar-SA"/>
              </w:rPr>
              <w:t>杨珍全/微信/视频</w:t>
            </w:r>
          </w:p>
          <w:p>
            <w:pPr>
              <w:snapToGrid w:val="0"/>
              <w:spacing w:line="320" w:lineRule="exact"/>
              <w:rPr>
                <w:rFonts w:hint="default" w:ascii="宋体" w:hAnsi="宋体" w:eastAsia="宋体" w:cs="Times New Roman"/>
                <w:b/>
                <w:bCs/>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auto"/>
                <w:sz w:val="21"/>
                <w:szCs w:val="21"/>
              </w:rPr>
            </w:pPr>
          </w:p>
        </w:tc>
        <w:tc>
          <w:tcPr>
            <w:tcW w:w="1473" w:type="dxa"/>
            <w:vAlign w:val="top"/>
          </w:tcPr>
          <w:p>
            <w:pPr>
              <w:snapToGrid w:val="0"/>
              <w:spacing w:line="320" w:lineRule="exact"/>
              <w:rPr>
                <w:rFonts w:hint="eastAsia" w:ascii="宋体" w:hAnsi="宋体"/>
                <w:b/>
                <w:bCs/>
                <w:color w:val="auto"/>
                <w:sz w:val="21"/>
                <w:szCs w:val="21"/>
              </w:rPr>
            </w:pPr>
            <w:r>
              <w:rPr>
                <w:rFonts w:hint="eastAsia" w:ascii="宋体" w:hAnsi="宋体"/>
                <w:b/>
                <w:bCs/>
                <w:color w:val="auto"/>
                <w:sz w:val="21"/>
                <w:szCs w:val="21"/>
                <w:lang w:val="en-US" w:eastAsia="zh-CN"/>
              </w:rPr>
              <w:t>17</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7</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w:t>
            </w:r>
          </w:p>
        </w:tc>
        <w:tc>
          <w:tcPr>
            <w:tcW w:w="6816" w:type="dxa"/>
            <w:gridSpan w:val="2"/>
            <w:vAlign w:val="center"/>
          </w:tcPr>
          <w:p>
            <w:pPr>
              <w:snapToGrid w:val="0"/>
              <w:spacing w:line="240" w:lineRule="exact"/>
              <w:rPr>
                <w:rFonts w:hint="eastAsia" w:ascii="宋体" w:hAnsi="宋体" w:eastAsia="宋体" w:cs="新宋体"/>
                <w:color w:val="auto"/>
                <w:kern w:val="2"/>
                <w:sz w:val="18"/>
                <w:szCs w:val="18"/>
                <w:lang w:val="en-US" w:eastAsia="zh-CN" w:bidi="ar-SA"/>
              </w:rPr>
            </w:pPr>
            <w:r>
              <w:rPr>
                <w:rFonts w:hint="eastAsia" w:ascii="宋体" w:hAnsi="宋体" w:cs="新宋体"/>
                <w:color w:val="auto"/>
                <w:sz w:val="21"/>
                <w:szCs w:val="21"/>
              </w:rPr>
              <w:t>审核组内部沟通,并与受审核方沟通</w:t>
            </w:r>
            <w:r>
              <w:rPr>
                <w:rFonts w:hint="eastAsia" w:ascii="宋体" w:hAnsi="宋体" w:cs="新宋体"/>
                <w:color w:val="auto"/>
                <w:sz w:val="21"/>
                <w:szCs w:val="21"/>
                <w:lang w:eastAsia="zh-CN"/>
              </w:rPr>
              <w:t>、</w:t>
            </w:r>
            <w:r>
              <w:rPr>
                <w:rFonts w:hint="eastAsia" w:ascii="宋体" w:hAnsi="宋体" w:cs="新宋体"/>
                <w:color w:val="auto"/>
                <w:sz w:val="21"/>
                <w:szCs w:val="21"/>
              </w:rPr>
              <w:t>末次会议</w:t>
            </w:r>
          </w:p>
        </w:tc>
        <w:tc>
          <w:tcPr>
            <w:tcW w:w="1077" w:type="dxa"/>
            <w:tcBorders>
              <w:right w:val="single" w:color="auto" w:sz="8" w:space="0"/>
            </w:tcBorders>
            <w:vAlign w:val="top"/>
          </w:tcPr>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18"/>
                <w:szCs w:val="18"/>
                <w:lang w:val="en-US" w:eastAsia="zh-CN" w:bidi="ar-SA"/>
              </w:rPr>
              <w:t>杨珍全、张心</w:t>
            </w:r>
            <w:r>
              <w:rPr>
                <w:rFonts w:hint="eastAsia" w:ascii="宋体" w:hAnsi="宋体" w:cs="Times New Roman"/>
                <w:b/>
                <w:bCs/>
                <w:color w:val="auto"/>
                <w:sz w:val="18"/>
                <w:szCs w:val="18"/>
                <w:lang w:val="en-US" w:eastAsia="zh-CN"/>
              </w:rPr>
              <w:t>/视频会议</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045"/>
        <w:tab w:val="clear" w:pos="4153"/>
      </w:tabs>
      <w:spacing w:line="320" w:lineRule="exact"/>
      <w:ind w:left="713" w:leftChars="297"/>
      <w:jc w:val="left"/>
      <w:rPr>
        <w:rStyle w:val="15"/>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5"/>
        <w:rFonts w:hint="default"/>
      </w:rPr>
      <w:t>北京国标联合认证有限公司</w:t>
    </w:r>
    <w:r>
      <w:rPr>
        <w:rStyle w:val="15"/>
        <w:rFonts w:hint="default"/>
      </w:rPr>
      <w:tab/>
    </w:r>
    <w:r>
      <w:rPr>
        <w:rStyle w:val="15"/>
        <w:rFonts w:hint="default"/>
      </w:rPr>
      <w:tab/>
    </w:r>
  </w:p>
  <w:p>
    <w:pPr>
      <w:pStyle w:val="6"/>
      <w:pBdr>
        <w:bottom w:val="single" w:color="auto" w:sz="4" w:space="0"/>
      </w:pBdr>
      <w:tabs>
        <w:tab w:val="left" w:pos="8910"/>
        <w:tab w:val="left" w:pos="9045"/>
        <w:tab w:val="clear" w:pos="4153"/>
      </w:tabs>
      <w:spacing w:line="320" w:lineRule="exact"/>
      <w:ind w:left="713" w:leftChars="297"/>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7320597"/>
    <w:rsid w:val="17B33589"/>
    <w:rsid w:val="1BB06679"/>
    <w:rsid w:val="536D70EC"/>
    <w:rsid w:val="5951551F"/>
    <w:rsid w:val="6D615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2576</Words>
  <Characters>3600</Characters>
  <Lines>37</Lines>
  <Paragraphs>10</Paragraphs>
  <TotalTime>0</TotalTime>
  <ScaleCrop>false</ScaleCrop>
  <LinksUpToDate>false</LinksUpToDate>
  <CharactersWithSpaces>3661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2022-06-22T00:15:23Z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