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0805-2022-QEO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成都康瑞奇油田化学技术开发有限公司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91510100MA6CAUJKXR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Q:12,E:12,O:12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成都康瑞奇油田化学技术开发有限公司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Q：化工产品（不含危险品）的销售及技术服务</w:t>
            </w:r>
          </w:p>
          <w:p>
            <w:pPr>
              <w:snapToGrid w:val="0"/>
              <w:spacing w:line="0" w:lineRule="atLeast"/>
              <w:jc w:val="left"/>
              <w:rPr>
                <w:sz w:val="22"/>
                <w:szCs w:val="22"/>
              </w:rPr>
            </w:pPr>
            <w:r>
              <w:rPr>
                <w:sz w:val="22"/>
                <w:szCs w:val="22"/>
              </w:rPr>
              <w:t>E：化工产品（不含危险品）的销售及技术服务所涉及场所的相关环境管理活动</w:t>
            </w:r>
          </w:p>
          <w:p>
            <w:pPr>
              <w:snapToGrid w:val="0"/>
              <w:spacing w:line="0" w:lineRule="atLeast"/>
              <w:jc w:val="left"/>
              <w:rPr>
                <w:sz w:val="22"/>
                <w:szCs w:val="22"/>
              </w:rPr>
            </w:pPr>
            <w:r>
              <w:rPr>
                <w:sz w:val="22"/>
                <w:szCs w:val="22"/>
              </w:rPr>
              <w:t>O：化工产品（不含危险品）的销售及技术服务所涉及场所的相关职业健康安全管理活动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中国（四川）自由贸易试验区成都市天府新区正兴街道宁波路东段377号1栋3层7号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中国（四川）自由贸易试验区成都市天府新区正兴街道宁波路东段377号1栋3层7号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val="en-US"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-12065</wp:posOffset>
                  </wp:positionH>
                  <wp:positionV relativeFrom="paragraph">
                    <wp:posOffset>92710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5"/>
                          <a:stretch>
                            <a:fillRect/>
                          </a:stretch>
                        </pic:blipFill>
                        <pic:spPr>
                          <a:xfrm>
                            <a:off x="0" y="0"/>
                            <a:ext cx="815340" cy="403860"/>
                          </a:xfrm>
                          <a:prstGeom prst="rect">
                            <a:avLst/>
                          </a:prstGeom>
                        </pic:spPr>
                      </pic:pic>
                    </a:graphicData>
                  </a:graphic>
                </wp:anchor>
              </w:drawing>
            </w:r>
          </w:p>
        </w:tc>
      </w:tr>
    </w:tbl>
    <w:p>
      <w:pPr>
        <w:snapToGrid w:val="0"/>
        <w:spacing w:line="0" w:lineRule="atLeast"/>
        <w:rPr>
          <w:rFonts w:hint="eastAsia"/>
        </w:rPr>
      </w:pPr>
    </w:p>
    <w:p>
      <w:pPr>
        <w:snapToGrid w:val="0"/>
        <w:spacing w:line="0" w:lineRule="atLeast"/>
      </w:pPr>
      <w:bookmarkStart w:id="21" w:name="_GoBack"/>
      <w:bookmarkEnd w:id="21"/>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3AD10E5"/>
    <w:rsid w:val="1CAA7D83"/>
    <w:rsid w:val="25355D17"/>
    <w:rsid w:val="493B6128"/>
    <w:rsid w:val="53C34130"/>
    <w:rsid w:val="616538E6"/>
    <w:rsid w:val="662B0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2022-06-18T14:50:20Z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