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0831-2022-QEO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河北博康教学设备有限公司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91130925MA093HYJXF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Q:12,E:12,O:12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河北博康教学设备有限公司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8" w:name="审核范围"/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lang w:eastAsia="zh-CN"/>
              </w:rPr>
              <w:t>幼儿玩教具、体育器材、办公家具、教学仪器及塑胶场地、人造草坪的销售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lang w:eastAsia="zh-CN"/>
              </w:rPr>
              <w:t>幼儿玩教具、体育器材、办公家具、教学仪器及塑胶场地、人造草坪的销售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lang w:eastAsia="zh-CN"/>
              </w:rPr>
              <w:t>幼儿玩教具、体育器材、办公家具、教学仪器及塑胶场地、人造草坪的销售</w:t>
            </w:r>
            <w:r>
              <w:rPr>
                <w:sz w:val="20"/>
              </w:rPr>
              <w:t>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盐山县盐山镇杨红庙村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盐山县盐山镇杨红庙村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189230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8711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1294</Words>
  <Characters>2153</Characters>
  <Lines>18</Lines>
  <Paragraphs>5</Paragraphs>
  <TotalTime>1</TotalTime>
  <ScaleCrop>false</ScaleCrop>
  <LinksUpToDate>false</LinksUpToDate>
  <CharactersWithSpaces>2368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2022-06-26T05:54:56Z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2052-11.1.0.11830</vt:lpwstr>
  </property>
</Properties>
</file>