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0787-2022-Q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宣化盛元工程机械有限公司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2022年06月23日 上午至2022年06月23日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河北省张家口市宣化区洋河南镇郜家洼村村口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18.05.02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宣化盛元工程机械有限公司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张家口市宣化区宣赤路农药厂北侧</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075100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河北省张家口市宣化区洋河南镇郜家洼村村口</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075100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王晓杰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18532262263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程建国</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王晓杰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产品：工矿机械用机械轮及配件的加工</w:t>
            </w:r>
          </w:p>
          <w:p>
            <w:pPr>
              <w:tabs>
                <w:tab w:val="left" w:pos="360"/>
              </w:tabs>
              <w:ind w:left="360" w:hanging="360"/>
              <w:rPr>
                <w:rFonts w:ascii="宋体" w:hAnsi="宋体"/>
                <w:b/>
                <w:color w:val="000000"/>
                <w:szCs w:val="21"/>
              </w:rPr>
            </w:pP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轴：下料—粗加工—热处理—精加工—检测—清洁—组装—清洁（打砂）—涂漆</w:t>
            </w:r>
          </w:p>
          <w:p>
            <w:pPr>
              <w:tabs>
                <w:tab w:val="left" w:pos="360"/>
              </w:tabs>
              <w:ind w:left="360" w:hanging="360"/>
              <w:rPr>
                <w:rFonts w:hint="eastAsia" w:ascii="宋体"/>
                <w:color w:val="000000"/>
                <w:szCs w:val="21"/>
              </w:rPr>
            </w:pPr>
            <w:r>
              <w:rPr>
                <w:rFonts w:hint="eastAsia" w:ascii="宋体"/>
                <w:color w:val="000000"/>
                <w:szCs w:val="21"/>
              </w:rPr>
              <w:t>轮体：下料—锻造—粗加工—焊接—热处理—精加工—检测—清洁—试压—清洁（打砂）—涂漆</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工矿机械用机械轮及配件的加工</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宣化盛元工程机械有限公司 张家口市宣化区宣赤路农药厂北侧</w:t>
            </w:r>
          </w:p>
        </w:tc>
        <w:tc>
          <w:tcPr>
            <w:tcW w:w="2267" w:type="dxa"/>
          </w:tcPr>
          <w:p>
            <w:pPr>
              <w:spacing w:before="40" w:after="40"/>
              <w:rPr>
                <w:rFonts w:eastAsia="黑体"/>
                <w:szCs w:val="21"/>
                <w:lang w:val="de-DE" w:eastAsia="ja-JP"/>
              </w:rPr>
            </w:pPr>
            <w:r>
              <w:rPr>
                <w:rFonts w:hint="eastAsia" w:eastAsia="黑体"/>
                <w:szCs w:val="21"/>
                <w:lang w:val="de-DE" w:eastAsia="ja-JP"/>
              </w:rPr>
              <w:t>河北省张家口市宣化区洋河南镇郜家洼村村口</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工矿机械用机械轮及配件的加工</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精加工、试压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热处理过程、轮体焊接过程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锻造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auto"/>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是否按法规要求检测和备案要且完好运行</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auto"/>
                <w:szCs w:val="21"/>
              </w:rPr>
            </w:pPr>
            <w:r>
              <w:rPr>
                <w:rFonts w:hint="eastAsia" w:ascii="宋体" w:hAnsi="宋体"/>
                <w:color w:val="auto"/>
                <w:szCs w:val="21"/>
              </w:rPr>
              <w:t>监视和测量资源</w:t>
            </w:r>
          </w:p>
        </w:tc>
        <w:tc>
          <w:tcPr>
            <w:tcW w:w="4191" w:type="dxa"/>
            <w:shd w:val="clear" w:color="auto" w:fill="DBEEF3" w:themeFill="accent5" w:themeFillTint="32"/>
          </w:tcPr>
          <w:p>
            <w:pPr>
              <w:rPr>
                <w:rFonts w:ascii="宋体"/>
                <w:color w:val="auto"/>
                <w:szCs w:val="21"/>
              </w:rPr>
            </w:pPr>
            <w:r>
              <w:rPr>
                <w:rFonts w:hint="eastAsia" w:ascii="宋体"/>
                <w:color w:val="auto"/>
                <w:szCs w:val="21"/>
              </w:rPr>
              <w:t>是否满足产品检测的需要</w:t>
            </w:r>
          </w:p>
        </w:tc>
        <w:tc>
          <w:tcPr>
            <w:tcW w:w="1063" w:type="dxa"/>
            <w:shd w:val="clear" w:color="auto" w:fill="DBEEF3" w:themeFill="accent5" w:themeFillTint="32"/>
          </w:tcPr>
          <w:p>
            <w:pPr>
              <w:rPr>
                <w:rFonts w:ascii="宋体"/>
                <w:color w:val="auto"/>
                <w:szCs w:val="21"/>
              </w:rPr>
            </w:pPr>
            <w:r>
              <w:rPr>
                <w:rFonts w:hint="eastAsia" w:ascii="宋体"/>
                <w:color w:val="auto"/>
                <w:szCs w:val="21"/>
              </w:rPr>
              <w:sym w:font="Wingdings 2" w:char="0052"/>
            </w:r>
            <w:r>
              <w:rPr>
                <w:rFonts w:hint="eastAsia" w:ascii="宋体"/>
                <w:color w:val="auto"/>
                <w:szCs w:val="21"/>
              </w:rPr>
              <w:t>是</w:t>
            </w:r>
          </w:p>
        </w:tc>
        <w:tc>
          <w:tcPr>
            <w:tcW w:w="1637" w:type="dxa"/>
            <w:shd w:val="clear" w:color="auto" w:fill="DBEEF3" w:themeFill="accent5" w:themeFillTint="32"/>
          </w:tcPr>
          <w:p>
            <w:pPr>
              <w:rPr>
                <w:rFonts w:ascii="宋体"/>
                <w:color w:val="auto"/>
                <w:szCs w:val="21"/>
              </w:rPr>
            </w:pPr>
            <w:r>
              <w:rPr>
                <w:rFonts w:hint="eastAsia" w:asci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auto"/>
                <w:spacing w:val="-10"/>
                <w:szCs w:val="21"/>
              </w:rPr>
            </w:pPr>
            <w:r>
              <w:rPr>
                <w:rFonts w:hint="eastAsia" w:ascii="宋体"/>
                <w:color w:val="auto"/>
                <w:szCs w:val="21"/>
              </w:rPr>
              <w:t>是否需要型式试验</w:t>
            </w:r>
          </w:p>
        </w:tc>
        <w:tc>
          <w:tcPr>
            <w:tcW w:w="1063" w:type="dxa"/>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是否有</w:t>
            </w:r>
            <w:r>
              <w:rPr>
                <w:rFonts w:hint="eastAsia" w:ascii="宋体"/>
                <w:color w:val="auto"/>
                <w:szCs w:val="21"/>
              </w:rPr>
              <w:t>型式试验</w:t>
            </w:r>
            <w:r>
              <w:rPr>
                <w:rFonts w:hint="eastAsia" w:ascii="宋体" w:hAnsi="宋体"/>
                <w:color w:val="auto"/>
                <w:szCs w:val="21"/>
              </w:rPr>
              <w:t>报告</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pacing w:val="-10"/>
                <w:szCs w:val="21"/>
              </w:rPr>
              <w:t>□</w:t>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2022-06-2</w:t>
            </w:r>
            <w:bookmarkEnd w:id="35"/>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w:t>
            </w:r>
            <w:r>
              <w:rPr>
                <w:rFonts w:hint="eastAsia" w:ascii="宋体"/>
                <w:b/>
                <w:color w:val="0000FF"/>
                <w:szCs w:val="21"/>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1669415</wp:posOffset>
            </wp:positionH>
            <wp:positionV relativeFrom="paragraph">
              <wp:posOffset>257810</wp:posOffset>
            </wp:positionV>
            <wp:extent cx="601345" cy="49911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01345" cy="49911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未能提供需确认的过程：热处理过程、轮体焊接过程的确认证据</w:t>
            </w:r>
          </w:p>
        </w:tc>
        <w:tc>
          <w:tcPr>
            <w:tcW w:w="922" w:type="dxa"/>
            <w:vAlign w:val="center"/>
          </w:tcPr>
          <w:p>
            <w:pPr>
              <w:pStyle w:val="6"/>
              <w:pBdr>
                <w:bottom w:val="none" w:color="auto" w:sz="0" w:space="0"/>
              </w:pBdr>
              <w:ind w:right="600"/>
              <w:jc w:val="left"/>
              <w:rPr>
                <w:color w:val="000000"/>
                <w:sz w:val="21"/>
                <w:szCs w:val="21"/>
              </w:rPr>
            </w:pPr>
            <w:r>
              <w:rPr>
                <w:rFonts w:hint="eastAsia"/>
                <w:color w:val="000000"/>
                <w:sz w:val="21"/>
                <w:szCs w:val="21"/>
              </w:rPr>
              <w:t>GB/T19001-2016</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934" w:type="dxa"/>
            <w:vAlign w:val="center"/>
          </w:tcPr>
          <w:p>
            <w:pPr>
              <w:pStyle w:val="6"/>
              <w:pBdr>
                <w:bottom w:val="none" w:color="auto" w:sz="0" w:space="0"/>
              </w:pBdr>
              <w:ind w:right="600"/>
              <w:jc w:val="both"/>
              <w:rPr>
                <w:color w:val="000000"/>
                <w:sz w:val="21"/>
                <w:szCs w:val="21"/>
              </w:rPr>
            </w:pPr>
            <w:r>
              <w:rPr>
                <w:rFonts w:hint="eastAsia"/>
                <w:szCs w:val="21"/>
              </w:rPr>
              <w:t>轻微问题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631190</wp:posOffset>
                  </wp:positionH>
                  <wp:positionV relativeFrom="paragraph">
                    <wp:posOffset>180340</wp:posOffset>
                  </wp:positionV>
                  <wp:extent cx="455295" cy="377825"/>
                  <wp:effectExtent l="0" t="0" r="0" b="254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455295" cy="37782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510540</wp:posOffset>
                  </wp:positionH>
                  <wp:positionV relativeFrom="paragraph">
                    <wp:posOffset>26670</wp:posOffset>
                  </wp:positionV>
                  <wp:extent cx="455295" cy="377825"/>
                  <wp:effectExtent l="0" t="0" r="0" b="254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455295" cy="37782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JhMzVmMjRhOTI3NTFjNmRlYmM5YzA2NWZhNjBiZTEifQ=="/>
  </w:docVars>
  <w:rsids>
    <w:rsidRoot w:val="00000000"/>
    <w:rsid w:val="048D33B4"/>
    <w:rsid w:val="3706757D"/>
    <w:rsid w:val="42446DF5"/>
    <w:rsid w:val="43336194"/>
    <w:rsid w:val="4CA44FE8"/>
    <w:rsid w:val="65095E83"/>
    <w:rsid w:val="7C82008E"/>
    <w:rsid w:val="7D0A68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2022-06-23T03:45:16Z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