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5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河北润通节水工程有限公司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河北省石家庄市行唐县白庙村南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河北省石家庄市行唐县白庙村南（QO)/经营地址：河北省石家庄市长安区中山路瑞城广场6号楼2203(E)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邢晶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15630461134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959512158@qq.com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0810-2022-E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塑料（聚乙烯PE、聚丙烯PP、聚氯乙烯PVC）管材管件、节水灌溉产品、灌溉用出水口（玻璃钢出水口、塑料出水口、铁质出水口）、施肥机、施肥器的销售所涉及场所的相关环境管理活动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lang w:val="en-US" w:eastAsia="zh-CN"/>
              </w:rPr>
              <w:t>RT</w:t>
            </w:r>
            <w:r>
              <w:rPr>
                <w:rFonts w:hint="eastAsia"/>
              </w:rPr>
              <w:t>-GLSC-</w:t>
            </w:r>
            <w:r>
              <w:rPr>
                <w:rFonts w:hint="eastAsia"/>
                <w:lang w:eastAsia="zh-CN"/>
              </w:rPr>
              <w:t>201</w:t>
            </w:r>
            <w:r>
              <w:rPr>
                <w:rFonts w:hint="eastAsia"/>
                <w:lang w:val="en-US" w:eastAsia="zh-CN"/>
              </w:rPr>
              <w:t>9 B版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2022年06月21日 上午至2022年06月21日 下午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11"/>
        <w:bidi w:val="0"/>
      </w:pPr>
    </w:p>
    <w:p>
      <w:pPr>
        <w:pStyle w:val="11"/>
        <w:bidi w:val="0"/>
      </w:pPr>
    </w:p>
    <w:p>
      <w:pPr>
        <w:pStyle w:val="11"/>
        <w:bidi w:val="0"/>
      </w:pPr>
      <w:r>
        <w:drawing>
          <wp:inline distT="0" distB="0" distL="114300" distR="114300">
            <wp:extent cx="5887720" cy="750570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7720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bidi w:val="0"/>
      </w:pPr>
    </w:p>
    <w:p>
      <w:pPr>
        <w:pStyle w:val="11"/>
        <w:bidi w:val="0"/>
      </w:pPr>
    </w:p>
    <w:p>
      <w:pPr>
        <w:pStyle w:val="11"/>
        <w:bidi w:val="0"/>
      </w:pPr>
    </w:p>
    <w:p>
      <w:pPr>
        <w:pStyle w:val="11"/>
        <w:bidi w:val="0"/>
      </w:pPr>
    </w:p>
    <w:p>
      <w:pPr>
        <w:pStyle w:val="11"/>
        <w:bidi w:val="0"/>
        <w:ind w:left="0" w:leftChars="0" w:firstLine="0" w:firstLineChars="0"/>
      </w:pPr>
    </w:p>
    <w:p>
      <w:pPr>
        <w:pStyle w:val="11"/>
        <w:bidi w:val="0"/>
        <w:ind w:left="0" w:leftChars="0" w:firstLine="0" w:firstLineChars="0"/>
      </w:pPr>
      <w:bookmarkStart w:id="28" w:name="_GoBack"/>
      <w:bookmarkEnd w:id="28"/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06-21</w:t>
            </w: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相关方投诉</w:t>
            </w:r>
            <w:r>
              <w:rPr>
                <w:rFonts w:hint="eastAsia"/>
                <w:sz w:val="21"/>
                <w:szCs w:val="21"/>
              </w:rPr>
              <w:t>情况，环境安全监测情况等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-11：00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/>
                <w:sz w:val="21"/>
                <w:szCs w:val="21"/>
              </w:rPr>
              <w:t>环境因素识别和评价，环境运行控制，应急准备和响应)</w:t>
            </w:r>
          </w:p>
        </w:tc>
        <w:tc>
          <w:tcPr>
            <w:tcW w:w="2469" w:type="dxa"/>
            <w:vAlign w:val="top"/>
          </w:tcPr>
          <w:p>
            <w:pPr>
              <w:pStyle w:val="14"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5.3/6.1.2/6.2/8.1/8.2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113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环境因素识别和评价，能力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培训、意识、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化信息、</w:t>
            </w:r>
            <w:r>
              <w:rPr>
                <w:rFonts w:hint="eastAsia"/>
                <w:sz w:val="21"/>
                <w:szCs w:val="21"/>
              </w:rPr>
              <w:t>环境运行控制，应急准备和响应、内部审核、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5/8.1/8.2/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39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eastAsia"/>
                <w:sz w:val="21"/>
                <w:szCs w:val="21"/>
              </w:rPr>
              <w:t>环境运行控制，应急准备和响应、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监视和测量、合规性评价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/6.1.2/6.1.3/6.1.4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/8.1/8.2/</w:t>
            </w: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16：30-</w:t>
            </w: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4D7A"/>
    <w:rsid w:val="0036244D"/>
    <w:rsid w:val="00602187"/>
    <w:rsid w:val="00754D7A"/>
    <w:rsid w:val="45C563D9"/>
    <w:rsid w:val="4DBF746E"/>
    <w:rsid w:val="4F307333"/>
    <w:rsid w:val="5E842BF6"/>
    <w:rsid w:val="7AA454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839</Words>
  <Characters>4788</Characters>
  <Lines>39</Lines>
  <Paragraphs>11</Paragraphs>
  <ScaleCrop>false</ScaleCrop>
  <LinksUpToDate>false</LinksUpToDate>
  <CharactersWithSpaces>5616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cp:lastPrinted>2022-06-23T21:46:00Z</cp:lastPrinted>
  <dcterms:modified xsi:type="dcterms:W3CDTF">2022-06-24T06:40:55Z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