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广东粤盛特种建材有限公司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0252-2020-QEO-2022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龙门县平陵隘子村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朱乾坤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龙门县平陵隘子村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朱乾坤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18923659300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18923659300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E：混凝土外加剂的生产所涉及场所的相关环境管理活动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O：混凝土外加剂的生产所涉及场所的相关职业健康安全管理活动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Q：混凝土外加剂的生产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E：12.05.04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O：12.05.04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Q：12.05.04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E:45,O:25,Q:25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eastAsia="黑体"/>
                <w:sz w:val="32"/>
                <w:lang w:val="en-US" w:eastAsia="zh-CN"/>
              </w:rPr>
              <w:t>市场部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 w:eastAsia="黑体"/>
                <w:sz w:val="32"/>
                <w:lang w:val="en-US" w:eastAsia="zh-CN"/>
              </w:rPr>
              <w:t>Q8.4.1E8.1O8.1.4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eastAsia="黑体"/>
                <w:sz w:val="32"/>
                <w:lang w:val="en-US" w:eastAsia="zh-CN"/>
              </w:rPr>
              <w:t>质检部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eastAsia="黑体"/>
                <w:sz w:val="32"/>
                <w:lang w:val="en-US" w:eastAsia="zh-CN"/>
              </w:rPr>
              <w:t>Q7.1.5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吉洁2021.7.27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Q7.5.3EO6.1.3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吉洁2022.7.28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3A0255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2022-07-28T09:14:06Z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2052-11.1.0.11753</vt:lpwstr>
  </property>
</Properties>
</file>