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56"/>
        <w:gridCol w:w="234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5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广东粤盛特种建材有限公司</w:t>
            </w:r>
            <w:bookmarkEnd w:id="11"/>
          </w:p>
        </w:tc>
        <w:tc>
          <w:tcPr>
            <w:tcW w:w="234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温丽丽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5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34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spacing w:line="400" w:lineRule="exact"/>
              <w:jc w:val="both"/>
              <w:rPr>
                <w:rFonts w:hint="default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>提供的“适用的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  <w:t xml:space="preserve">法律法规与其他要求清单”中《中华人民共和国环境噪声污染防治法》《国家危险废物名录》《中华人民共和国消防法》《中华人民共和国安全生产法》非现行有效版本。 </w:t>
            </w:r>
          </w:p>
          <w:p>
            <w:pPr>
              <w:pStyle w:val="2"/>
              <w:spacing w:line="400" w:lineRule="exact"/>
              <w:jc w:val="both"/>
              <w:rPr>
                <w:rFonts w:hint="eastAsia" w:ascii="方正仿宋简体" w:hAnsi="Times New Roman" w:eastAsia="方正仿宋简体" w:cs="Times New Roman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2807335</wp:posOffset>
                  </wp:positionH>
                  <wp:positionV relativeFrom="paragraph">
                    <wp:posOffset>5080</wp:posOffset>
                  </wp:positionV>
                  <wp:extent cx="1056005" cy="50863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00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93980</wp:posOffset>
                  </wp:positionV>
                  <wp:extent cx="622300" cy="4254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2022.7.28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bookmarkStart w:id="16" w:name="_GoBack"/>
      <w:bookmarkEnd w:id="16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83869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MingLiU" w:hAnsi="Courier New" w:eastAsia="MingLiU"/>
      <w:sz w:val="24"/>
      <w:lang w:eastAsia="zh-TW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2022-07-28T02:01:56Z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