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0274-2020-Q-2022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东莞欣升阳精密科技有限公司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东莞欣升阳精密科技有限公司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广东省东莞市凤岗镇五联工业二路3号1号楼101室</w:t>
            </w:r>
            <w:bookmarkEnd w:id="6"/>
          </w:p>
        </w:tc>
        <w:tc>
          <w:tcPr>
            <w:tcW w:w="1242" w:type="dxa"/>
            <w:vMerge w:val="restart"/>
            <w:vAlign w:val="center"/>
          </w:tcPr>
          <w:p>
            <w:r>
              <w:rPr>
                <w:rFonts w:hint="eastAsia"/>
              </w:rPr>
              <w:t>邮编</w:t>
            </w:r>
          </w:p>
        </w:tc>
        <w:tc>
          <w:tcPr>
            <w:tcW w:w="1771" w:type="dxa"/>
          </w:tcPr>
          <w:p>
            <w:bookmarkStart w:id="7" w:name="注册邮编"/>
            <w:r>
              <w:t>523690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广东省东莞市凤岗镇五联工业二路3号1号楼101室</w:t>
            </w:r>
            <w:bookmarkEnd w:id="8"/>
          </w:p>
        </w:tc>
        <w:tc>
          <w:tcPr>
            <w:tcW w:w="1242" w:type="dxa"/>
            <w:vMerge w:val="continue"/>
            <w:vAlign w:val="center"/>
          </w:tcPr>
          <w:p/>
        </w:tc>
        <w:tc>
          <w:tcPr>
            <w:tcW w:w="1771" w:type="dxa"/>
          </w:tcPr>
          <w:p>
            <w:bookmarkStart w:id="9" w:name="办公邮编"/>
            <w:r>
              <w:t>523690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时金花</w:t>
            </w:r>
            <w:bookmarkEnd w:id="10"/>
          </w:p>
        </w:tc>
        <w:tc>
          <w:tcPr>
            <w:tcW w:w="1313" w:type="dxa"/>
            <w:vAlign w:val="center"/>
          </w:tcPr>
          <w:p>
            <w:r>
              <w:rPr>
                <w:rFonts w:hint="eastAsia"/>
              </w:rPr>
              <w:t>电话.</w:t>
            </w:r>
          </w:p>
        </w:tc>
        <w:tc>
          <w:tcPr>
            <w:tcW w:w="2180" w:type="dxa"/>
            <w:vAlign w:val="center"/>
          </w:tcPr>
          <w:p>
            <w:bookmarkStart w:id="11" w:name="联系人电话"/>
            <w:r>
              <w:t>18926043348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孙新领</w:t>
            </w:r>
            <w:bookmarkEnd w:id="13"/>
          </w:p>
        </w:tc>
        <w:tc>
          <w:tcPr>
            <w:tcW w:w="1313" w:type="dxa"/>
            <w:vAlign w:val="center"/>
          </w:tcPr>
          <w:p>
            <w:r>
              <w:rPr>
                <w:rFonts w:hint="eastAsia"/>
              </w:rPr>
              <w:t>管理者代表</w:t>
            </w:r>
          </w:p>
        </w:tc>
        <w:tc>
          <w:tcPr>
            <w:tcW w:w="2180" w:type="dxa"/>
          </w:tcPr>
          <w:p>
            <w:bookmarkStart w:id="14" w:name="管理者代表"/>
            <w:r>
              <w:t>熊文锋</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楷体" w:hAnsi="楷体" w:eastAsia="楷体" w:cs="楷体"/>
                <w:sz w:val="24"/>
                <w:szCs w:val="24"/>
              </w:rPr>
              <w:t xml:space="preserve"> 压铸--抛光--打批锋--钻孔攻牙--数控车床--CNC电脑锣--表面处理（外包）--组装</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2022年08月19日 上午至2022年08月19日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金属仪表壳、铝合金散热器配件的生产</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17.10.01;17.10.02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2</w:t>
            </w:r>
            <w:r>
              <w:rPr>
                <w:rFonts w:hint="eastAsia"/>
              </w:rPr>
              <w:t>月</w:t>
            </w:r>
            <w:r>
              <w:rPr>
                <w:rFonts w:hint="eastAsia"/>
                <w:lang w:val="en-US" w:eastAsia="zh-CN"/>
              </w:rPr>
              <w:t>8</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13</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8</w:t>
            </w:r>
            <w:r>
              <w:rPr>
                <w:rFonts w:hint="eastAsia"/>
              </w:rPr>
              <w:t>月</w:t>
            </w:r>
            <w:r>
              <w:rPr>
                <w:rFonts w:hint="eastAsia"/>
                <w:lang w:val="en-US" w:eastAsia="zh-CN"/>
              </w:rPr>
              <w:t>10</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849"/>
        <w:gridCol w:w="1833"/>
        <w:gridCol w:w="667"/>
        <w:gridCol w:w="2955"/>
        <w:gridCol w:w="1273"/>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1849" w:type="dxa"/>
            <w:shd w:val="clear" w:color="auto" w:fill="F3F3F3"/>
            <w:tcMar>
              <w:left w:w="57" w:type="dxa"/>
              <w:right w:w="57" w:type="dxa"/>
            </w:tcMar>
          </w:tcPr>
          <w:p>
            <w:r>
              <w:rPr>
                <w:rFonts w:hint="eastAsia"/>
              </w:rPr>
              <w:t>组织名称及注册场所地址</w:t>
            </w:r>
          </w:p>
        </w:tc>
        <w:tc>
          <w:tcPr>
            <w:tcW w:w="1833" w:type="dxa"/>
            <w:shd w:val="clear" w:color="auto" w:fill="F3F3F3"/>
            <w:tcMar>
              <w:left w:w="57" w:type="dxa"/>
              <w:right w:w="57" w:type="dxa"/>
            </w:tcMar>
          </w:tcPr>
          <w:p>
            <w:r>
              <w:rPr>
                <w:rFonts w:hint="eastAsia"/>
              </w:rPr>
              <w:t>经营场所的地址</w:t>
            </w:r>
          </w:p>
          <w:p>
            <w:r>
              <w:rPr>
                <w:rFonts w:hint="eastAsia"/>
              </w:rPr>
              <w:t>（多现场和临时现场）</w:t>
            </w:r>
          </w:p>
        </w:tc>
        <w:tc>
          <w:tcPr>
            <w:tcW w:w="667" w:type="dxa"/>
            <w:shd w:val="clear" w:color="auto" w:fill="F3F3F3"/>
            <w:tcMar>
              <w:left w:w="57" w:type="dxa"/>
              <w:right w:w="57" w:type="dxa"/>
            </w:tcMar>
          </w:tcPr>
          <w:p>
            <w:r>
              <w:rPr>
                <w:rFonts w:hint="eastAsia"/>
              </w:rPr>
              <w:t>员工人数</w:t>
            </w:r>
          </w:p>
        </w:tc>
        <w:tc>
          <w:tcPr>
            <w:tcW w:w="2955" w:type="dxa"/>
            <w:shd w:val="clear" w:color="auto" w:fill="F3F3F3"/>
            <w:tcMar>
              <w:left w:w="57" w:type="dxa"/>
              <w:right w:w="57" w:type="dxa"/>
            </w:tcMar>
          </w:tcPr>
          <w:p>
            <w:r>
              <w:rPr>
                <w:rFonts w:hint="eastAsia"/>
              </w:rPr>
              <w:t>审核范围（产品和过程）</w:t>
            </w:r>
          </w:p>
          <w:p/>
          <w:p/>
        </w:tc>
        <w:tc>
          <w:tcPr>
            <w:tcW w:w="1273"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1849" w:type="dxa"/>
          </w:tcPr>
          <w:p>
            <w:pPr>
              <w:rPr>
                <w:lang w:val="de-DE" w:eastAsia="ja-JP"/>
              </w:rPr>
            </w:pPr>
            <w:r>
              <w:rPr>
                <w:rFonts w:hint="eastAsia"/>
                <w:lang w:val="de-DE" w:eastAsia="ja-JP"/>
              </w:rPr>
              <w:t>东莞欣升阳精密科技有限公司</w:t>
            </w:r>
          </w:p>
        </w:tc>
        <w:tc>
          <w:tcPr>
            <w:tcW w:w="1833" w:type="dxa"/>
          </w:tcPr>
          <w:p>
            <w:pPr>
              <w:rPr>
                <w:lang w:val="de-DE" w:eastAsia="ja-JP"/>
              </w:rPr>
            </w:pPr>
            <w:r>
              <w:rPr>
                <w:rFonts w:hint="eastAsia"/>
                <w:lang w:val="de-DE" w:eastAsia="ja-JP"/>
              </w:rPr>
              <w:t>广东省东莞市凤岗镇五联工业二路3号1号楼101室</w:t>
            </w:r>
          </w:p>
        </w:tc>
        <w:tc>
          <w:tcPr>
            <w:tcW w:w="667" w:type="dxa"/>
            <w:vAlign w:val="center"/>
          </w:tcPr>
          <w:p>
            <w:pPr>
              <w:rPr>
                <w:rFonts w:hint="default" w:eastAsia="宋体"/>
                <w:lang w:val="en-US" w:eastAsia="zh-CN"/>
              </w:rPr>
            </w:pPr>
            <w:r>
              <w:rPr>
                <w:rFonts w:hint="eastAsia"/>
                <w:lang w:val="en-US" w:eastAsia="zh-CN"/>
              </w:rPr>
              <w:t>25</w:t>
            </w:r>
          </w:p>
        </w:tc>
        <w:tc>
          <w:tcPr>
            <w:tcW w:w="2955" w:type="dxa"/>
            <w:vAlign w:val="center"/>
          </w:tcPr>
          <w:p>
            <w:pPr>
              <w:rPr>
                <w:lang w:eastAsia="ja-JP"/>
              </w:rPr>
            </w:pPr>
            <w:r>
              <w:rPr>
                <w:rFonts w:hint="eastAsia"/>
                <w:lang w:eastAsia="ja-JP"/>
              </w:rPr>
              <w:t>金属仪表壳、铝合金散热器配件的生产</w:t>
            </w:r>
          </w:p>
        </w:tc>
        <w:tc>
          <w:tcPr>
            <w:tcW w:w="1273" w:type="dxa"/>
            <w:vAlign w:val="center"/>
          </w:tcPr>
          <w:p>
            <w:pPr>
              <w:rPr>
                <w:lang w:eastAsia="ja-JP"/>
              </w:rPr>
            </w:pPr>
            <w:r>
              <w:rPr>
                <w:rFonts w:hint="eastAsia"/>
                <w:lang w:eastAsia="ja-JP"/>
              </w:rPr>
              <w:t xml:space="preserve">GB/T19001-2016/ISO 9001:2015  </w:t>
            </w:r>
          </w:p>
        </w:tc>
        <w:tc>
          <w:tcPr>
            <w:tcW w:w="668" w:type="dxa"/>
            <w:shd w:val="clear" w:color="auto" w:fill="FFFFFF"/>
          </w:tcPr>
          <w:p>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1849" w:type="dxa"/>
            <w:vAlign w:val="center"/>
          </w:tcPr>
          <w:p>
            <w:pPr>
              <w:rPr>
                <w:lang w:eastAsia="ja-JP"/>
              </w:rPr>
            </w:pPr>
            <w:bookmarkStart w:id="31" w:name="办公地址"/>
            <w:r>
              <w:rPr>
                <w:rFonts w:hint="eastAsia"/>
                <w:lang w:val="en-GB" w:eastAsia="ja-JP"/>
              </w:rPr>
              <w:t>广东省东莞市凤岗镇五联工业二路3号</w:t>
            </w:r>
            <w:r>
              <w:rPr>
                <w:rFonts w:hint="eastAsia" w:ascii="楷体" w:hAnsi="楷体" w:eastAsia="楷体" w:cs="楷体"/>
                <w:sz w:val="24"/>
                <w:szCs w:val="24"/>
                <w:lang w:val="en-GB"/>
              </w:rPr>
              <w:t>1</w:t>
            </w:r>
            <w:r>
              <w:rPr>
                <w:rFonts w:hint="eastAsia"/>
                <w:lang w:val="en-GB" w:eastAsia="ja-JP"/>
              </w:rPr>
              <w:t>号楼101室</w:t>
            </w:r>
            <w:bookmarkEnd w:id="31"/>
          </w:p>
        </w:tc>
        <w:tc>
          <w:tcPr>
            <w:tcW w:w="1833" w:type="dxa"/>
            <w:vAlign w:val="center"/>
          </w:tcPr>
          <w:p>
            <w:pPr>
              <w:rPr>
                <w:lang w:eastAsia="ja-JP"/>
              </w:rPr>
            </w:pPr>
          </w:p>
        </w:tc>
        <w:tc>
          <w:tcPr>
            <w:tcW w:w="667" w:type="dxa"/>
            <w:vAlign w:val="center"/>
          </w:tcPr>
          <w:p>
            <w:pPr>
              <w:rPr>
                <w:lang w:eastAsia="ja-JP"/>
              </w:rPr>
            </w:pPr>
          </w:p>
        </w:tc>
        <w:tc>
          <w:tcPr>
            <w:tcW w:w="2955" w:type="dxa"/>
            <w:vAlign w:val="center"/>
          </w:tcPr>
          <w:p>
            <w:pPr>
              <w:rPr>
                <w:lang w:eastAsia="ja-JP"/>
              </w:rPr>
            </w:pPr>
          </w:p>
        </w:tc>
        <w:tc>
          <w:tcPr>
            <w:tcW w:w="1273"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1849" w:type="dxa"/>
            <w:vAlign w:val="center"/>
          </w:tcPr>
          <w:p>
            <w:pPr>
              <w:rPr>
                <w:lang w:eastAsia="ja-JP"/>
              </w:rPr>
            </w:pPr>
          </w:p>
        </w:tc>
        <w:tc>
          <w:tcPr>
            <w:tcW w:w="1833" w:type="dxa"/>
            <w:vAlign w:val="center"/>
          </w:tcPr>
          <w:p>
            <w:pPr>
              <w:rPr>
                <w:lang w:eastAsia="ja-JP"/>
              </w:rPr>
            </w:pPr>
          </w:p>
        </w:tc>
        <w:tc>
          <w:tcPr>
            <w:tcW w:w="667" w:type="dxa"/>
            <w:vAlign w:val="center"/>
          </w:tcPr>
          <w:p>
            <w:pPr>
              <w:rPr>
                <w:lang w:eastAsia="ja-JP"/>
              </w:rPr>
            </w:pPr>
          </w:p>
        </w:tc>
        <w:tc>
          <w:tcPr>
            <w:tcW w:w="2955" w:type="dxa"/>
            <w:vAlign w:val="center"/>
          </w:tcPr>
          <w:p>
            <w:pPr>
              <w:rPr>
                <w:lang w:eastAsia="ja-JP"/>
              </w:rPr>
            </w:pPr>
          </w:p>
        </w:tc>
        <w:tc>
          <w:tcPr>
            <w:tcW w:w="1273"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1849" w:type="dxa"/>
            <w:vAlign w:val="center"/>
          </w:tcPr>
          <w:p>
            <w:pPr>
              <w:rPr>
                <w:lang w:eastAsia="ja-JP"/>
              </w:rPr>
            </w:pPr>
          </w:p>
        </w:tc>
        <w:tc>
          <w:tcPr>
            <w:tcW w:w="1833" w:type="dxa"/>
            <w:vAlign w:val="center"/>
          </w:tcPr>
          <w:p>
            <w:pPr>
              <w:rPr>
                <w:lang w:eastAsia="ja-JP"/>
              </w:rPr>
            </w:pPr>
          </w:p>
        </w:tc>
        <w:tc>
          <w:tcPr>
            <w:tcW w:w="667" w:type="dxa"/>
            <w:vAlign w:val="center"/>
          </w:tcPr>
          <w:p>
            <w:pPr>
              <w:rPr>
                <w:lang w:eastAsia="ja-JP"/>
              </w:rPr>
            </w:pPr>
          </w:p>
        </w:tc>
        <w:tc>
          <w:tcPr>
            <w:tcW w:w="2955" w:type="dxa"/>
            <w:vAlign w:val="center"/>
          </w:tcPr>
          <w:p>
            <w:pPr>
              <w:rPr>
                <w:lang w:eastAsia="ja-JP"/>
              </w:rPr>
            </w:pPr>
          </w:p>
        </w:tc>
        <w:tc>
          <w:tcPr>
            <w:tcW w:w="1273"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1849" w:type="dxa"/>
            <w:vAlign w:val="center"/>
          </w:tcPr>
          <w:p>
            <w:pPr>
              <w:rPr>
                <w:lang w:eastAsia="ja-JP"/>
              </w:rPr>
            </w:pPr>
          </w:p>
        </w:tc>
        <w:tc>
          <w:tcPr>
            <w:tcW w:w="1833" w:type="dxa"/>
            <w:vAlign w:val="center"/>
          </w:tcPr>
          <w:p>
            <w:pPr>
              <w:rPr>
                <w:lang w:eastAsia="ja-JP"/>
              </w:rPr>
            </w:pPr>
          </w:p>
        </w:tc>
        <w:tc>
          <w:tcPr>
            <w:tcW w:w="667" w:type="dxa"/>
            <w:vAlign w:val="center"/>
          </w:tcPr>
          <w:p>
            <w:pPr>
              <w:rPr>
                <w:lang w:eastAsia="ja-JP"/>
              </w:rPr>
            </w:pPr>
          </w:p>
        </w:tc>
        <w:tc>
          <w:tcPr>
            <w:tcW w:w="2955" w:type="dxa"/>
            <w:vAlign w:val="center"/>
          </w:tcPr>
          <w:p>
            <w:pPr>
              <w:rPr>
                <w:lang w:eastAsia="ja-JP"/>
              </w:rPr>
            </w:pPr>
          </w:p>
        </w:tc>
        <w:tc>
          <w:tcPr>
            <w:tcW w:w="1273"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张星</w:t>
            </w:r>
          </w:p>
        </w:tc>
        <w:tc>
          <w:tcPr>
            <w:tcW w:w="1089" w:type="dxa"/>
            <w:vAlign w:val="center"/>
          </w:tcPr>
          <w:p>
            <w:r>
              <w:t>组长</w:t>
            </w:r>
          </w:p>
        </w:tc>
        <w:tc>
          <w:tcPr>
            <w:tcW w:w="711" w:type="dxa"/>
            <w:vAlign w:val="center"/>
          </w:tcPr>
          <w:p>
            <w:r>
              <w:t>女</w:t>
            </w:r>
          </w:p>
        </w:tc>
        <w:tc>
          <w:tcPr>
            <w:tcW w:w="3870" w:type="dxa"/>
            <w:vAlign w:val="center"/>
          </w:tcPr>
          <w:p>
            <w:r>
              <w:t>2020-N1QMS-1263722</w:t>
            </w:r>
          </w:p>
        </w:tc>
        <w:tc>
          <w:tcPr>
            <w:tcW w:w="2179" w:type="dxa"/>
            <w:vAlign w:val="center"/>
          </w:tcPr>
          <w:p>
            <w:r>
              <w:t>17.10.01,17.10.02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default" w:eastAsia="宋体"/>
                <w:lang w:val="en-US" w:eastAsia="zh-CN"/>
              </w:rPr>
            </w:pPr>
            <w:r>
              <w:rPr>
                <w:rFonts w:hint="eastAsia"/>
                <w:lang w:val="en-US" w:eastAsia="zh-CN"/>
              </w:rPr>
              <w:t>变更为：</w:t>
            </w:r>
            <w:r>
              <w:t>金属仪表壳、铝合金散热器配件的生产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2" w:name="Q勾选Add2"/>
            <w:r>
              <w:rPr>
                <w:rFonts w:hint="eastAsia"/>
              </w:rPr>
              <w:t>■</w:t>
            </w:r>
            <w:bookmarkEnd w:id="3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E勾选Add2"/>
            <w:r>
              <w:rPr>
                <w:rFonts w:hint="eastAsia"/>
              </w:rPr>
              <w:t>□</w:t>
            </w:r>
            <w:bookmarkEnd w:id="3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4" w:name="S勾选Add2"/>
            <w:r>
              <w:rPr>
                <w:rFonts w:hint="eastAsia"/>
              </w:rPr>
              <w:t>□</w:t>
            </w:r>
            <w:bookmarkEnd w:id="3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t>金属仪表壳、铝合金散热器配件的生产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5"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6"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inline distT="0" distB="0" distL="114300" distR="114300">
                  <wp:extent cx="760730" cy="109855"/>
                  <wp:effectExtent l="0" t="0" r="1270" b="444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6"/>
                          <a:stretch>
                            <a:fillRect/>
                          </a:stretch>
                        </pic:blipFill>
                        <pic:spPr>
                          <a:xfrm>
                            <a:off x="0" y="0"/>
                            <a:ext cx="760730" cy="109855"/>
                          </a:xfrm>
                          <a:prstGeom prst="rect">
                            <a:avLst/>
                          </a:prstGeom>
                          <a:noFill/>
                          <a:ln>
                            <a:noFill/>
                          </a:ln>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 xml:space="preserve"> 2022.8.21</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104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70"/>
        <w:gridCol w:w="9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Pr>
        <w:tc>
          <w:tcPr>
            <w:tcW w:w="1257" w:type="dxa"/>
            <w:shd w:val="clear" w:color="auto" w:fill="C7DAF1" w:themeFill="text2" w:themeFillTint="32"/>
          </w:tcPr>
          <w:p>
            <w:pPr>
              <w:shd w:val="clear" w:color="auto" w:fill="C7DAF1" w:themeFill="text2" w:themeFillTint="32"/>
            </w:pPr>
            <w:r>
              <w:rPr>
                <w:rFonts w:hint="eastAsia"/>
              </w:rPr>
              <w:t>审核周期</w:t>
            </w:r>
          </w:p>
        </w:tc>
        <w:tc>
          <w:tcPr>
            <w:tcW w:w="9057"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52"/>
            </w:r>
            <w:r>
              <w:rPr>
                <w:rFonts w:hint="eastAsia"/>
              </w:rPr>
              <w:t xml:space="preserve">QMS体系建立以来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Height w:val="90" w:hRule="atLeast"/>
        </w:trPr>
        <w:tc>
          <w:tcPr>
            <w:tcW w:w="1257" w:type="dxa"/>
            <w:shd w:val="clear" w:color="auto" w:fill="C7DAF1" w:themeFill="text2" w:themeFillTint="32"/>
          </w:tcPr>
          <w:p>
            <w:pPr>
              <w:shd w:val="clear" w:color="auto" w:fill="C7DAF1" w:themeFill="text2" w:themeFillTint="32"/>
            </w:pPr>
            <w:r>
              <w:rPr>
                <w:rFonts w:hint="eastAsia"/>
              </w:rPr>
              <w:t>体系要素</w:t>
            </w:r>
          </w:p>
        </w:tc>
        <w:tc>
          <w:tcPr>
            <w:tcW w:w="9057"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Height w:val="284" w:hRule="atLeast"/>
        </w:trPr>
        <w:tc>
          <w:tcPr>
            <w:tcW w:w="1257" w:type="dxa"/>
            <w:vMerge w:val="restart"/>
            <w:shd w:val="clear" w:color="auto" w:fill="C7DAF1" w:themeFill="text2" w:themeFillTint="32"/>
          </w:tcPr>
          <w:p>
            <w:pPr>
              <w:shd w:val="clear" w:color="auto" w:fill="C7DAF1" w:themeFill="text2" w:themeFillTint="32"/>
            </w:pPr>
            <w:r>
              <w:rPr>
                <w:rFonts w:hint="eastAsia"/>
              </w:rPr>
              <w:t>组织环境</w:t>
            </w:r>
          </w:p>
        </w:tc>
        <w:tc>
          <w:tcPr>
            <w:tcW w:w="9057"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A3"/>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Height w:val="284"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Height w:val="284"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Height w:val="284"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检测水平</w:t>
            </w:r>
            <w:r>
              <w:rPr>
                <w:rFonts w:hint="eastAsia"/>
              </w:rPr>
              <w:sym w:font="Wingdings 2" w:char="0052"/>
            </w:r>
            <w:r>
              <w:rPr>
                <w:rFonts w:hint="eastAsia"/>
              </w:rPr>
              <w:t xml:space="preserve">合同评审 □知识保密 </w:t>
            </w:r>
          </w:p>
          <w:p>
            <w:pPr>
              <w:shd w:val="clear" w:color="auto" w:fill="C7DAF1" w:themeFill="text2" w:themeFillTint="32"/>
              <w:spacing w:before="40" w:after="40"/>
            </w:pPr>
            <w:r>
              <w:rPr>
                <w:rFonts w:hint="eastAsia"/>
              </w:rPr>
              <w:sym w:font="Wingdings 2" w:char="00A3"/>
            </w: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sym w:font="Wingdings 2" w:char="00A3"/>
            </w:r>
            <w:r>
              <w:rPr>
                <w:rFonts w:hint="eastAsia"/>
              </w:rPr>
              <w:t xml:space="preserve">新产品设计开发 </w:t>
            </w:r>
            <w:r>
              <w:rPr>
                <w:rFonts w:hint="eastAsia"/>
              </w:rPr>
              <w:sym w:font="Wingdings 2" w:char="00A3"/>
            </w:r>
            <w:r>
              <w:rPr>
                <w:rFonts w:hint="eastAsia"/>
              </w:rPr>
              <w:t xml:space="preserve">原材料订制 </w:t>
            </w:r>
            <w:r>
              <w:rPr>
                <w:rFonts w:hint="eastAsia"/>
              </w:rPr>
              <w:sym w:font="Wingdings 2" w:char="0052"/>
            </w:r>
            <w:r>
              <w:rPr>
                <w:rFonts w:hint="eastAsia"/>
              </w:rPr>
              <w:t xml:space="preserve">生产/服务过程 □检验检测 </w:t>
            </w:r>
            <w:r>
              <w:rPr>
                <w:rFonts w:hint="eastAsia"/>
              </w:rPr>
              <w:sym w:font="Wingdings 2" w:char="0052"/>
            </w:r>
            <w:r>
              <w:rPr>
                <w:rFonts w:hint="eastAsia"/>
              </w:rPr>
              <w:t>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Pr>
        <w:tc>
          <w:tcPr>
            <w:tcW w:w="1257" w:type="dxa"/>
            <w:vMerge w:val="restart"/>
            <w:shd w:val="clear" w:color="auto" w:fill="C7DAF1" w:themeFill="text2" w:themeFillTint="32"/>
          </w:tcPr>
          <w:p>
            <w:pPr>
              <w:shd w:val="clear" w:color="auto" w:fill="C7DAF1" w:themeFill="text2" w:themeFillTint="32"/>
            </w:pPr>
            <w:r>
              <w:rPr>
                <w:rFonts w:hint="eastAsia"/>
              </w:rPr>
              <w:t>领导作用</w:t>
            </w:r>
          </w:p>
        </w:tc>
        <w:tc>
          <w:tcPr>
            <w:tcW w:w="9057"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 xml:space="preserve">重视顾客反馈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widowControl/>
              <w:spacing w:before="40"/>
              <w:jc w:val="left"/>
              <w:rPr>
                <w:rFonts w:hint="eastAsia"/>
                <w:color w:val="000000"/>
                <w:szCs w:val="18"/>
                <w:u w:val="single"/>
              </w:rPr>
            </w:pPr>
            <w:r>
              <w:rPr>
                <w:rFonts w:hint="eastAsia"/>
              </w:rPr>
              <w:t>最高管理者制定了文件化的管理体系方针：</w:t>
            </w:r>
            <w:r>
              <w:rPr>
                <w:rFonts w:hint="eastAsia"/>
                <w:u w:val="single"/>
              </w:rPr>
              <w:t xml:space="preserve">  </w:t>
            </w:r>
            <w:r>
              <w:rPr>
                <w:rFonts w:hint="eastAsia"/>
                <w:color w:val="000000"/>
                <w:szCs w:val="18"/>
                <w:u w:val="single"/>
              </w:rPr>
              <w:t>精益求精，精良每一品，精心每一户</w:t>
            </w:r>
          </w:p>
          <w:p>
            <w:pPr>
              <w:shd w:val="clear" w:color="auto" w:fill="C7DAF1" w:themeFill="text2" w:themeFillTint="32"/>
              <w:rPr>
                <w:u w:val="single"/>
              </w:rPr>
            </w:pPr>
            <w:r>
              <w:rPr>
                <w:rFonts w:hint="eastAsia"/>
              </w:rPr>
              <w:t xml:space="preserve"> </w:t>
            </w:r>
            <w:r>
              <w:rPr>
                <w:rFonts w:hint="eastAsia"/>
                <w:u w:val="single"/>
              </w:rPr>
              <w:t xml:space="preserve">                                                                          </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p>
          <w:p>
            <w:pPr>
              <w:shd w:val="clear" w:color="auto" w:fill="C7DAF1" w:themeFill="text2" w:themeFillTint="32"/>
              <w:rPr>
                <w:rFonts w:hint="default" w:eastAsia="宋体"/>
                <w:lang w:val="en-US" w:eastAsia="zh-CN"/>
              </w:rPr>
            </w:pPr>
            <w:r>
              <w:rPr>
                <w:rFonts w:hint="eastAsia"/>
                <w:lang w:val="en-US" w:eastAsia="zh-CN"/>
              </w:rPr>
              <w:t>品质部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Pr>
        <w:tc>
          <w:tcPr>
            <w:tcW w:w="1257" w:type="dxa"/>
            <w:vMerge w:val="restart"/>
            <w:shd w:val="clear" w:color="auto" w:fill="C7DAF1" w:themeFill="text2" w:themeFillTint="32"/>
          </w:tcPr>
          <w:p>
            <w:pPr>
              <w:shd w:val="clear" w:color="auto" w:fill="C7DAF1" w:themeFill="text2" w:themeFillTint="32"/>
            </w:pPr>
            <w:r>
              <w:rPr>
                <w:rFonts w:hint="eastAsia"/>
              </w:rPr>
              <w:t>策划</w:t>
            </w:r>
          </w:p>
        </w:tc>
        <w:tc>
          <w:tcPr>
            <w:tcW w:w="9057"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客户要求不明确，理解不正确或存在争议。</w:t>
                  </w:r>
                </w:p>
              </w:tc>
              <w:tc>
                <w:tcPr>
                  <w:tcW w:w="3965" w:type="dxa"/>
                </w:tcPr>
                <w:p>
                  <w:pPr>
                    <w:shd w:val="clear" w:color="auto" w:fill="C7DAF1" w:themeFill="text2" w:themeFillTint="32"/>
                  </w:pPr>
                  <w:r>
                    <w:rPr>
                      <w:rFonts w:hint="eastAsia"/>
                    </w:rPr>
                    <w:t>下单前进行评审，确保顾客要求完全识别。</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流动资金占用比例大</w:t>
                  </w:r>
                </w:p>
              </w:tc>
              <w:tc>
                <w:tcPr>
                  <w:tcW w:w="3965" w:type="dxa"/>
                </w:tcPr>
                <w:p>
                  <w:pPr>
                    <w:shd w:val="clear" w:color="auto" w:fill="C7DAF1" w:themeFill="text2" w:themeFillTint="32"/>
                    <w:rPr>
                      <w:rFonts w:hint="eastAsia"/>
                    </w:rPr>
                  </w:pPr>
                  <w:r>
                    <w:rPr>
                      <w:rFonts w:hint="eastAsia"/>
                    </w:rPr>
                    <w:t>加强财务资金管理、落实实施财务制度</w:t>
                  </w:r>
                </w:p>
                <w:p>
                  <w:pPr>
                    <w:shd w:val="clear" w:color="auto" w:fill="C7DAF1" w:themeFill="text2" w:themeFillTint="32"/>
                  </w:pPr>
                  <w:r>
                    <w:rPr>
                      <w:rFonts w:hint="eastAsia"/>
                    </w:rPr>
                    <w:t>针对内部部因素，还分析了财务状况、人力资源、基础设施等。</w:t>
                  </w:r>
                </w:p>
              </w:tc>
              <w:tc>
                <w:tcPr>
                  <w:tcW w:w="1717"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napToGrid w:val="0"/>
                    <w:spacing w:line="240" w:lineRule="atLeast"/>
                    <w:jc w:val="center"/>
                    <w:rPr>
                      <w:rFonts w:hint="default" w:eastAsia="宋体"/>
                      <w:lang w:val="en-US" w:eastAsia="zh-CN"/>
                    </w:rPr>
                  </w:pPr>
                  <w:r>
                    <w:rPr>
                      <w:rFonts w:hint="eastAsia" w:ascii="宋体" w:hAnsi="宋体"/>
                      <w:szCs w:val="21"/>
                    </w:rPr>
                    <w:t>客户满意度 ≥ 98分</w:t>
                  </w:r>
                </w:p>
              </w:tc>
              <w:tc>
                <w:tcPr>
                  <w:tcW w:w="3136" w:type="dxa"/>
                  <w:shd w:val="clear" w:color="auto" w:fill="auto"/>
                  <w:vAlign w:val="center"/>
                </w:tcPr>
                <w:p>
                  <w:pPr>
                    <w:snapToGrid w:val="0"/>
                    <w:spacing w:before="50" w:line="240" w:lineRule="atLeast"/>
                    <w:jc w:val="center"/>
                    <w:rPr>
                      <w:rFonts w:hint="default" w:ascii="宋体" w:hAnsi="宋体" w:eastAsia="宋体" w:cs="宋体"/>
                      <w:kern w:val="0"/>
                      <w:sz w:val="21"/>
                      <w:szCs w:val="21"/>
                      <w:lang w:val="en-US" w:eastAsia="zh-CN" w:bidi="ar"/>
                    </w:rPr>
                  </w:pPr>
                  <w:r>
                    <w:rPr>
                      <w:rFonts w:hint="eastAsia" w:ascii="宋体" w:hAnsi="宋体"/>
                      <w:color w:val="000000"/>
                      <w:szCs w:val="21"/>
                    </w:rPr>
                    <w:t>满意度达到数量/调查客户总数X100%</w:t>
                  </w:r>
                </w:p>
              </w:tc>
              <w:tc>
                <w:tcPr>
                  <w:tcW w:w="1350" w:type="dxa"/>
                  <w:shd w:val="clear" w:color="auto" w:fill="auto"/>
                  <w:vAlign w:val="center"/>
                </w:tcPr>
                <w:p>
                  <w:pPr>
                    <w:snapToGrid w:val="0"/>
                    <w:spacing w:line="240" w:lineRule="atLeast"/>
                    <w:ind w:left="-288" w:leftChars="-137" w:firstLine="214" w:firstLineChars="102"/>
                    <w:jc w:val="right"/>
                    <w:rPr>
                      <w:rFonts w:hint="default" w:eastAsia="宋体"/>
                      <w:lang w:val="en-US" w:eastAsia="zh-CN"/>
                    </w:rPr>
                  </w:pPr>
                  <w:r>
                    <w:rPr>
                      <w:rFonts w:hint="eastAsia" w:ascii="宋体" w:hAnsi="宋体"/>
                      <w:szCs w:val="21"/>
                      <w:lang w:val="en-US" w:eastAsia="zh-CN"/>
                    </w:rPr>
                    <w:t>业务</w:t>
                  </w:r>
                  <w:r>
                    <w:rPr>
                      <w:rFonts w:hint="eastAsia" w:ascii="宋体" w:hAnsi="宋体"/>
                      <w:szCs w:val="21"/>
                    </w:rPr>
                    <w:t>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已达标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napToGrid w:val="0"/>
                    <w:spacing w:line="240" w:lineRule="atLeast"/>
                    <w:jc w:val="center"/>
                    <w:rPr>
                      <w:rFonts w:hint="default" w:eastAsia="宋体"/>
                      <w:lang w:val="en-US" w:eastAsia="zh-CN"/>
                    </w:rPr>
                  </w:pPr>
                  <w:r>
                    <w:rPr>
                      <w:rFonts w:hint="eastAsia" w:ascii="宋体" w:hAnsi="宋体"/>
                      <w:szCs w:val="21"/>
                    </w:rPr>
                    <w:t>客户投诉率每月≤1%</w:t>
                  </w:r>
                </w:p>
              </w:tc>
              <w:tc>
                <w:tcPr>
                  <w:tcW w:w="3136" w:type="dxa"/>
                  <w:shd w:val="clear" w:color="auto" w:fill="auto"/>
                  <w:vAlign w:val="center"/>
                </w:tcPr>
                <w:p>
                  <w:pPr>
                    <w:snapToGrid w:val="0"/>
                    <w:spacing w:line="240" w:lineRule="atLeast"/>
                    <w:jc w:val="center"/>
                    <w:rPr>
                      <w:rFonts w:hint="default" w:ascii="宋体" w:hAnsi="宋体" w:eastAsia="宋体" w:cs="宋体"/>
                      <w:kern w:val="0"/>
                      <w:sz w:val="21"/>
                      <w:szCs w:val="21"/>
                      <w:lang w:val="en-US" w:eastAsia="zh-CN" w:bidi="ar"/>
                    </w:rPr>
                  </w:pPr>
                  <w:r>
                    <w:rPr>
                      <w:rFonts w:hint="eastAsia" w:ascii="宋体" w:hAnsi="宋体"/>
                      <w:szCs w:val="21"/>
                    </w:rPr>
                    <w:t>投诉次数/出货总数X100%</w:t>
                  </w:r>
                </w:p>
              </w:tc>
              <w:tc>
                <w:tcPr>
                  <w:tcW w:w="1350" w:type="dxa"/>
                  <w:shd w:val="clear" w:color="auto" w:fill="auto"/>
                  <w:vAlign w:val="center"/>
                </w:tcPr>
                <w:p>
                  <w:pPr>
                    <w:snapToGrid w:val="0"/>
                    <w:spacing w:line="240" w:lineRule="atLeast"/>
                    <w:ind w:left="-288" w:leftChars="-137" w:firstLine="214" w:firstLineChars="102"/>
                    <w:jc w:val="right"/>
                    <w:rPr>
                      <w:rFonts w:hint="default" w:ascii="宋体" w:hAnsi="宋体" w:eastAsia="宋体"/>
                      <w:lang w:val="en-US" w:eastAsia="zh-CN"/>
                    </w:rPr>
                  </w:pPr>
                  <w:r>
                    <w:rPr>
                      <w:rFonts w:hint="eastAsia" w:ascii="宋体" w:hAnsi="宋体"/>
                      <w:szCs w:val="21"/>
                      <w:lang w:val="en-US" w:eastAsia="zh-CN"/>
                    </w:rPr>
                    <w:t>业务</w:t>
                  </w:r>
                  <w:r>
                    <w:rPr>
                      <w:rFonts w:hint="eastAsia" w:ascii="宋体" w:hAnsi="宋体"/>
                      <w:szCs w:val="21"/>
                    </w:rPr>
                    <w:t>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已达标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napToGrid w:val="0"/>
                    <w:spacing w:line="240" w:lineRule="atLeast"/>
                    <w:jc w:val="center"/>
                  </w:pPr>
                  <w:r>
                    <w:rPr>
                      <w:rFonts w:hint="eastAsia" w:ascii="宋体" w:hAnsi="宋体"/>
                      <w:szCs w:val="21"/>
                    </w:rPr>
                    <w:t>客户退货率每月≤0.5%</w:t>
                  </w:r>
                </w:p>
              </w:tc>
              <w:tc>
                <w:tcPr>
                  <w:tcW w:w="3136" w:type="dxa"/>
                  <w:shd w:val="clear" w:color="auto" w:fill="auto"/>
                  <w:vAlign w:val="center"/>
                </w:tcPr>
                <w:p>
                  <w:pPr>
                    <w:snapToGrid w:val="0"/>
                    <w:spacing w:line="240" w:lineRule="atLeast"/>
                    <w:jc w:val="center"/>
                    <w:rPr>
                      <w:rFonts w:ascii="宋体" w:hAnsi="宋体"/>
                    </w:rPr>
                  </w:pPr>
                  <w:r>
                    <w:rPr>
                      <w:rFonts w:hint="eastAsia" w:ascii="宋体" w:hAnsi="宋体"/>
                      <w:szCs w:val="21"/>
                    </w:rPr>
                    <w:t>退货次数/出货总数X100%</w:t>
                  </w:r>
                </w:p>
              </w:tc>
              <w:tc>
                <w:tcPr>
                  <w:tcW w:w="1350" w:type="dxa"/>
                  <w:shd w:val="clear" w:color="auto" w:fill="auto"/>
                  <w:vAlign w:val="center"/>
                </w:tcPr>
                <w:p>
                  <w:pPr>
                    <w:snapToGrid w:val="0"/>
                    <w:spacing w:line="240" w:lineRule="atLeast"/>
                    <w:ind w:left="-137" w:leftChars="0"/>
                    <w:jc w:val="right"/>
                    <w:rPr>
                      <w:rFonts w:hint="default" w:ascii="宋体" w:hAnsi="宋体" w:eastAsia="宋体"/>
                      <w:lang w:val="en-US" w:eastAsia="zh-CN"/>
                    </w:rPr>
                  </w:pPr>
                  <w:r>
                    <w:rPr>
                      <w:rFonts w:hint="eastAsia" w:ascii="宋体" w:hAnsi="宋体"/>
                      <w:szCs w:val="21"/>
                    </w:rPr>
                    <w:t>品质部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已达标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napToGrid w:val="0"/>
                    <w:spacing w:line="240" w:lineRule="atLeast"/>
                    <w:jc w:val="center"/>
                  </w:pPr>
                  <w:r>
                    <w:rPr>
                      <w:rFonts w:hint="eastAsia" w:ascii="宋体" w:hAnsi="宋体" w:cs="宋体"/>
                      <w:kern w:val="0"/>
                      <w:szCs w:val="21"/>
                    </w:rPr>
                    <w:t>供应商交货准时率≥</w:t>
                  </w:r>
                  <w:r>
                    <w:rPr>
                      <w:rFonts w:ascii="宋体" w:hAnsi="宋体"/>
                      <w:kern w:val="0"/>
                      <w:szCs w:val="21"/>
                    </w:rPr>
                    <w:t>9</w:t>
                  </w:r>
                  <w:r>
                    <w:rPr>
                      <w:rFonts w:hint="eastAsia" w:ascii="宋体" w:hAnsi="宋体"/>
                      <w:kern w:val="0"/>
                      <w:szCs w:val="21"/>
                    </w:rPr>
                    <w:t>8</w:t>
                  </w:r>
                  <w:r>
                    <w:rPr>
                      <w:rFonts w:ascii="宋体" w:hAnsi="宋体"/>
                      <w:kern w:val="0"/>
                      <w:szCs w:val="21"/>
                    </w:rPr>
                    <w:t>%</w:t>
                  </w:r>
                </w:p>
              </w:tc>
              <w:tc>
                <w:tcPr>
                  <w:tcW w:w="3136" w:type="dxa"/>
                  <w:shd w:val="clear" w:color="auto" w:fill="auto"/>
                  <w:vAlign w:val="center"/>
                </w:tcPr>
                <w:p>
                  <w:pPr>
                    <w:snapToGrid w:val="0"/>
                    <w:spacing w:line="240" w:lineRule="atLeast"/>
                    <w:jc w:val="center"/>
                    <w:rPr>
                      <w:rFonts w:hint="eastAsia" w:ascii="宋体" w:hAnsi="宋体"/>
                      <w:szCs w:val="21"/>
                    </w:rPr>
                  </w:pPr>
                  <w:r>
                    <w:rPr>
                      <w:rFonts w:hint="eastAsia" w:ascii="宋体" w:hAnsi="宋体"/>
                      <w:szCs w:val="21"/>
                    </w:rPr>
                    <w:t>准时交货批数/</w:t>
                  </w:r>
                </w:p>
                <w:p>
                  <w:pPr>
                    <w:snapToGrid w:val="0"/>
                    <w:spacing w:line="240" w:lineRule="atLeast"/>
                    <w:jc w:val="center"/>
                    <w:rPr>
                      <w:rFonts w:ascii="宋体" w:hAnsi="宋体"/>
                    </w:rPr>
                  </w:pPr>
                  <w:r>
                    <w:rPr>
                      <w:rFonts w:hint="eastAsia" w:ascii="宋体" w:hAnsi="宋体"/>
                      <w:szCs w:val="21"/>
                    </w:rPr>
                    <w:t>采购计划总批数X100%</w:t>
                  </w:r>
                </w:p>
              </w:tc>
              <w:tc>
                <w:tcPr>
                  <w:tcW w:w="1350" w:type="dxa"/>
                  <w:shd w:val="clear" w:color="auto" w:fill="auto"/>
                  <w:vAlign w:val="center"/>
                </w:tcPr>
                <w:p>
                  <w:pPr>
                    <w:snapToGrid w:val="0"/>
                    <w:spacing w:line="240" w:lineRule="atLeast"/>
                    <w:ind w:left="-137" w:leftChars="0"/>
                    <w:jc w:val="right"/>
                    <w:rPr>
                      <w:rFonts w:ascii="宋体" w:hAnsi="宋体"/>
                    </w:rPr>
                  </w:pPr>
                  <w:r>
                    <w:rPr>
                      <w:rFonts w:hint="eastAsia" w:ascii="宋体" w:hAnsi="宋体"/>
                      <w:szCs w:val="21"/>
                      <w:lang w:val="en-US" w:eastAsia="zh-CN"/>
                    </w:rPr>
                    <w:t>生产</w:t>
                  </w:r>
                  <w:r>
                    <w:rPr>
                      <w:rFonts w:hint="eastAsia" w:ascii="宋体" w:hAnsi="宋体"/>
                      <w:szCs w:val="21"/>
                    </w:rPr>
                    <w:t>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US" w:eastAsia="zh-CN"/>
                    </w:rPr>
                    <w:t>已达标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napToGrid w:val="0"/>
                    <w:spacing w:line="240" w:lineRule="atLeast"/>
                    <w:jc w:val="center"/>
                  </w:pPr>
                  <w:r>
                    <w:rPr>
                      <w:rFonts w:hint="eastAsia" w:ascii="宋体" w:hAnsi="宋体"/>
                      <w:szCs w:val="21"/>
                    </w:rPr>
                    <w:t>来料检验批合格率≥99</w:t>
                  </w:r>
                  <w:r>
                    <w:rPr>
                      <w:rFonts w:ascii="宋体" w:hAnsi="宋体"/>
                      <w:szCs w:val="21"/>
                    </w:rPr>
                    <w:t>%</w:t>
                  </w:r>
                </w:p>
              </w:tc>
              <w:tc>
                <w:tcPr>
                  <w:tcW w:w="3136" w:type="dxa"/>
                  <w:shd w:val="clear" w:color="auto" w:fill="auto"/>
                  <w:vAlign w:val="center"/>
                </w:tcPr>
                <w:p>
                  <w:pPr>
                    <w:shd w:val="clear" w:color="auto" w:fill="C7DAF1" w:themeFill="text2" w:themeFillTint="32"/>
                    <w:rPr>
                      <w:rFonts w:hint="eastAsia"/>
                    </w:rPr>
                  </w:pPr>
                  <w:r>
                    <w:rPr>
                      <w:rFonts w:hint="eastAsia"/>
                    </w:rPr>
                    <w:t>来料检验合格的批数/来料总批数X100%</w:t>
                  </w:r>
                </w:p>
                <w:p>
                  <w:pPr>
                    <w:shd w:val="clear" w:color="auto" w:fill="C7DAF1" w:themeFill="text2" w:themeFillTint="32"/>
                    <w:rPr>
                      <w:rFonts w:ascii="宋体" w:hAnsi="宋体"/>
                    </w:rPr>
                  </w:pPr>
                </w:p>
              </w:tc>
              <w:tc>
                <w:tcPr>
                  <w:tcW w:w="1350" w:type="dxa"/>
                  <w:shd w:val="clear" w:color="auto" w:fill="auto"/>
                  <w:vAlign w:val="center"/>
                </w:tcPr>
                <w:p>
                  <w:pPr>
                    <w:snapToGrid w:val="0"/>
                    <w:spacing w:line="240" w:lineRule="atLeast"/>
                    <w:ind w:left="-137" w:leftChars="0"/>
                    <w:jc w:val="right"/>
                    <w:rPr>
                      <w:rFonts w:ascii="宋体" w:hAnsi="宋体"/>
                    </w:rPr>
                  </w:pPr>
                  <w:r>
                    <w:rPr>
                      <w:rFonts w:hint="eastAsia" w:ascii="宋体" w:hAnsi="宋体"/>
                      <w:szCs w:val="21"/>
                      <w:lang w:val="en-US" w:eastAsia="zh-CN"/>
                    </w:rPr>
                    <w:t>生产</w:t>
                  </w:r>
                  <w:r>
                    <w:rPr>
                      <w:rFonts w:hint="eastAsia" w:ascii="宋体" w:hAnsi="宋体"/>
                      <w:szCs w:val="21"/>
                    </w:rPr>
                    <w:t>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US" w:eastAsia="zh-CN"/>
                    </w:rPr>
                    <w:t>已达标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napToGrid w:val="0"/>
                    <w:spacing w:line="240" w:lineRule="atLeast"/>
                    <w:jc w:val="center"/>
                  </w:pPr>
                  <w:r>
                    <w:rPr>
                      <w:rFonts w:hint="eastAsia" w:ascii="宋体" w:hAnsi="宋体"/>
                      <w:szCs w:val="21"/>
                    </w:rPr>
                    <w:t>培训合格率≥</w:t>
                  </w:r>
                  <w:r>
                    <w:rPr>
                      <w:rFonts w:ascii="宋体" w:hAnsi="宋体"/>
                      <w:szCs w:val="21"/>
                    </w:rPr>
                    <w:t>98%</w:t>
                  </w:r>
                </w:p>
              </w:tc>
              <w:tc>
                <w:tcPr>
                  <w:tcW w:w="3136" w:type="dxa"/>
                  <w:shd w:val="clear" w:color="auto" w:fill="auto"/>
                  <w:vAlign w:val="center"/>
                </w:tcPr>
                <w:p>
                  <w:pPr>
                    <w:shd w:val="clear" w:color="auto" w:fill="C7DAF1" w:themeFill="text2" w:themeFillTint="32"/>
                    <w:rPr>
                      <w:rFonts w:hint="eastAsia"/>
                    </w:rPr>
                  </w:pPr>
                  <w:r>
                    <w:rPr>
                      <w:rFonts w:hint="eastAsia"/>
                    </w:rPr>
                    <w:t>培训考核合格的人数/</w:t>
                  </w:r>
                </w:p>
                <w:p>
                  <w:pPr>
                    <w:shd w:val="clear" w:color="auto" w:fill="C7DAF1" w:themeFill="text2" w:themeFillTint="32"/>
                    <w:rPr>
                      <w:rFonts w:ascii="宋体" w:hAnsi="宋体"/>
                    </w:rPr>
                  </w:pPr>
                </w:p>
              </w:tc>
              <w:tc>
                <w:tcPr>
                  <w:tcW w:w="1350" w:type="dxa"/>
                  <w:shd w:val="clear" w:color="auto" w:fill="auto"/>
                  <w:vAlign w:val="center"/>
                </w:tcPr>
                <w:p>
                  <w:pPr>
                    <w:snapToGrid w:val="0"/>
                    <w:spacing w:line="240" w:lineRule="atLeast"/>
                    <w:ind w:left="-137" w:leftChars="0"/>
                    <w:jc w:val="right"/>
                    <w:rPr>
                      <w:rFonts w:hint="eastAsia" w:ascii="宋体" w:hAnsi="宋体" w:eastAsia="宋体" w:cs="Times New Roman"/>
                      <w:kern w:val="2"/>
                      <w:sz w:val="21"/>
                      <w:szCs w:val="21"/>
                      <w:lang w:val="en-US" w:eastAsia="zh-CN" w:bidi="ar-SA"/>
                    </w:rPr>
                  </w:pPr>
                  <w:r>
                    <w:rPr>
                      <w:rFonts w:hint="eastAsia" w:ascii="宋体" w:hAnsi="宋体"/>
                      <w:szCs w:val="21"/>
                    </w:rPr>
                    <w:t>行政部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US" w:eastAsia="zh-CN"/>
                    </w:rPr>
                    <w:t>已达标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napToGrid w:val="0"/>
                    <w:spacing w:line="240" w:lineRule="atLeast"/>
                    <w:jc w:val="center"/>
                  </w:pPr>
                  <w:r>
                    <w:rPr>
                      <w:rFonts w:hint="eastAsia" w:ascii="宋体" w:hAnsi="宋体"/>
                      <w:szCs w:val="21"/>
                    </w:rPr>
                    <w:t>成品检验合格率≥</w:t>
                  </w:r>
                  <w:r>
                    <w:rPr>
                      <w:rFonts w:ascii="宋体" w:hAnsi="宋体"/>
                      <w:szCs w:val="21"/>
                    </w:rPr>
                    <w:t>9</w:t>
                  </w:r>
                  <w:r>
                    <w:rPr>
                      <w:rFonts w:hint="eastAsia" w:ascii="宋体" w:hAnsi="宋体"/>
                      <w:szCs w:val="21"/>
                    </w:rPr>
                    <w:t>9.9</w:t>
                  </w:r>
                  <w:r>
                    <w:rPr>
                      <w:rFonts w:ascii="宋体" w:hAnsi="宋体"/>
                      <w:szCs w:val="21"/>
                    </w:rPr>
                    <w:t>%</w:t>
                  </w:r>
                </w:p>
              </w:tc>
              <w:tc>
                <w:tcPr>
                  <w:tcW w:w="3136" w:type="dxa"/>
                  <w:shd w:val="clear" w:color="auto" w:fill="auto"/>
                  <w:vAlign w:val="center"/>
                </w:tcPr>
                <w:p>
                  <w:pPr>
                    <w:shd w:val="clear" w:color="auto" w:fill="C7DAF1" w:themeFill="text2" w:themeFillTint="32"/>
                    <w:rPr>
                      <w:rFonts w:ascii="宋体" w:hAnsi="宋体"/>
                    </w:rPr>
                  </w:pPr>
                  <w:r>
                    <w:rPr>
                      <w:rFonts w:hint="eastAsia"/>
                    </w:rPr>
                    <w:t>成品一批检验合格率/成品总批数X100%</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 xml:space="preserve">    生产部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US" w:eastAsia="zh-CN"/>
                    </w:rPr>
                    <w:t>已达标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Height w:val="882" w:hRule="atLeast"/>
        </w:trPr>
        <w:tc>
          <w:tcPr>
            <w:tcW w:w="1257" w:type="dxa"/>
            <w:vMerge w:val="restart"/>
            <w:shd w:val="clear" w:color="auto" w:fill="C7DAF1" w:themeFill="text2" w:themeFillTint="32"/>
          </w:tcPr>
          <w:p>
            <w:pPr>
              <w:shd w:val="clear" w:color="auto" w:fill="C7DAF1" w:themeFill="text2" w:themeFillTint="32"/>
            </w:pPr>
            <w:r>
              <w:rPr>
                <w:rFonts w:hint="eastAsia"/>
              </w:rPr>
              <w:t>支持</w:t>
            </w:r>
          </w:p>
        </w:tc>
        <w:tc>
          <w:tcPr>
            <w:tcW w:w="9057"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Height w:val="882"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Height w:val="882"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cs="宋体"/>
                <w:color w:val="auto"/>
                <w:sz w:val="21"/>
                <w:szCs w:val="21"/>
                <w:lang w:val="en-US" w:eastAsia="zh-CN"/>
              </w:rPr>
              <w:t>约5000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2</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u w:val="single"/>
              </w:rPr>
              <w:t>数控车床、油压机、铣床、钻孔机（列举2~4种）</w:t>
            </w:r>
          </w:p>
          <w:p>
            <w:pPr>
              <w:shd w:val="clear" w:color="auto" w:fill="C7DAF1" w:themeFill="text2" w:themeFillTint="32"/>
            </w:pPr>
            <w:r>
              <w:rPr>
                <w:rFonts w:hint="eastAsia"/>
              </w:rPr>
              <w:t xml:space="preserve">特种设备：叉车 ■行车 锅炉 电梯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压力管道  </w:t>
            </w:r>
            <w:r>
              <w:rPr>
                <w:rFonts w:hint="eastAsia" w:ascii="Wingdings" w:hAnsi="Wingdings"/>
              </w:rPr>
              <w:t>¨</w:t>
            </w:r>
            <w:r>
              <w:rPr>
                <w:rFonts w:hint="eastAsia"/>
              </w:rPr>
              <w:t xml:space="preserve">不适用  </w:t>
            </w:r>
          </w:p>
          <w:p>
            <w:pPr>
              <w:shd w:val="clear" w:color="auto" w:fill="C7DAF1" w:themeFill="text2" w:themeFillTint="32"/>
              <w:rPr>
                <w:u w:val="single"/>
              </w:rPr>
            </w:pPr>
            <w:r>
              <w:rPr>
                <w:rFonts w:hint="eastAsia"/>
              </w:rPr>
              <w:t xml:space="preserve">特种设备管理：进行了定期检验  ■未进行定期检验的有： </w:t>
            </w:r>
            <w:r>
              <w:rPr>
                <w:rFonts w:hint="eastAsia"/>
                <w:u w:val="single"/>
              </w:rPr>
              <w:t xml:space="preserve"> </w:t>
            </w:r>
            <w:r>
              <w:rPr>
                <w:rFonts w:hint="eastAsia"/>
                <w:u w:val="single"/>
                <w:lang w:val="en-US" w:eastAsia="zh-CN"/>
              </w:rPr>
              <w:t>无需检验</w:t>
            </w:r>
            <w:r>
              <w:rPr>
                <w:rFonts w:hint="eastAsia"/>
                <w:u w:val="single"/>
              </w:rPr>
              <w:t xml:space="preserve">           </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Height w:val="882"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Height w:val="882"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■外校 </w:t>
            </w:r>
          </w:p>
          <w:p>
            <w:pPr>
              <w:shd w:val="clear" w:color="auto" w:fill="C7DAF1" w:themeFill="text2" w:themeFillTint="32"/>
              <w:rPr>
                <w:u w:val="single"/>
              </w:rPr>
            </w:pPr>
            <w:r>
              <w:rPr>
                <w:rFonts w:hint="eastAsia"/>
              </w:rPr>
              <w:t>国家强检的计量器具有：</w:t>
            </w:r>
            <w:r>
              <w:rPr>
                <w:rFonts w:hint="eastAsia"/>
                <w:u w:val="single"/>
              </w:rPr>
              <w:t xml:space="preserve">  </w:t>
            </w:r>
            <w:r>
              <w:rPr>
                <w:rFonts w:hint="eastAsia" w:ascii="Times New Roman" w:hAnsi="Times New Roman" w:eastAsia="宋体" w:cs="Times New Roman"/>
                <w:szCs w:val="21"/>
                <w:u w:val="single"/>
                <w:lang w:val="en-US" w:eastAsia="zh-CN"/>
              </w:rPr>
              <w:t>游标卡尺</w:t>
            </w:r>
            <w:r>
              <w:rPr>
                <w:rFonts w:hint="eastAsia" w:ascii="Times New Roman" w:hAnsi="Times New Roman" w:eastAsia="宋体" w:cs="Times New Roman"/>
                <w:szCs w:val="21"/>
                <w:u w:val="single"/>
              </w:rPr>
              <w:t>、</w:t>
            </w:r>
            <w:r>
              <w:rPr>
                <w:rFonts w:hint="eastAsia" w:ascii="Times New Roman" w:hAnsi="Times New Roman" w:eastAsia="宋体" w:cs="Times New Roman"/>
                <w:szCs w:val="21"/>
                <w:u w:val="single"/>
                <w:lang w:val="en-US" w:eastAsia="zh-CN"/>
              </w:rPr>
              <w:t>千分尺、</w:t>
            </w:r>
            <w:r>
              <w:rPr>
                <w:rFonts w:hint="eastAsia" w:cs="Times New Roman"/>
                <w:szCs w:val="21"/>
                <w:u w:val="single"/>
                <w:lang w:val="en-US" w:eastAsia="zh-CN"/>
              </w:rPr>
              <w:t>二次元等</w:t>
            </w:r>
            <w:r>
              <w:rPr>
                <w:rFonts w:hint="eastAsia"/>
                <w:u w:val="single"/>
              </w:rPr>
              <w:t xml:space="preserve"> （列举1~4种）</w:t>
            </w:r>
          </w:p>
          <w:p>
            <w:pPr>
              <w:shd w:val="clear" w:color="auto" w:fill="C7DAF1" w:themeFill="text2" w:themeFillTint="32"/>
              <w:rPr>
                <w:u w:val="single"/>
              </w:rPr>
            </w:pPr>
            <w:r>
              <w:rPr>
                <w:rFonts w:hint="eastAsia"/>
              </w:rPr>
              <w:t>计量器具管理：■进行了定期校准/检定 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Height w:val="90"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内部知识:■加工工艺 ■生产经验  ■管理软件  ■市场预测   ■企业标准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■顾客提供资料 ■产品标准  学术交流信息  ■专业会议信息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■招聘 ■换岗  ■培训  ■考核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 xml:space="preserve">特种作业人员：电工 </w:t>
            </w:r>
            <w:r>
              <w:rPr>
                <w:rFonts w:hint="eastAsia" w:ascii="Wingdings" w:hAnsi="Wingdings"/>
              </w:rPr>
              <w:t>¨</w:t>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rPr>
              <w:t>¨</w:t>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 xml:space="preserve">通过■会议传达 ■标语  ■培训  </w:t>
            </w:r>
            <w:r>
              <w:rPr>
                <w:rFonts w:hint="eastAsia" w:ascii="Wingdings" w:hAnsi="Wingdings"/>
              </w:rPr>
              <w:t>¨</w:t>
            </w:r>
            <w:r>
              <w:rPr>
                <w:rFonts w:hint="eastAsia"/>
              </w:rPr>
              <w:t xml:space="preserve">看板   ■局域网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 xml:space="preserve">内部沟通方式：■文件发放 ■会议  ■标语  ■展板   </w:t>
            </w:r>
            <w:r>
              <w:rPr>
                <w:rFonts w:hint="eastAsia" w:ascii="Wingdings" w:hAnsi="Wingdings"/>
              </w:rPr>
              <w:t>¨</w:t>
            </w:r>
            <w:r>
              <w:rPr>
                <w:rFonts w:hint="eastAsia"/>
              </w:rPr>
              <w:t>其他</w:t>
            </w:r>
          </w:p>
          <w:p>
            <w:pPr>
              <w:shd w:val="clear" w:color="auto" w:fill="C7DAF1" w:themeFill="text2" w:themeFillTint="32"/>
            </w:pPr>
            <w:r>
              <w:rPr>
                <w:rFonts w:hint="eastAsia"/>
              </w:rPr>
              <w:t xml:space="preserve">外部沟通方式：■宣传材料 ■网站  ■标语  ■展板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Height w:val="355" w:hRule="atLeast"/>
        </w:trPr>
        <w:tc>
          <w:tcPr>
            <w:tcW w:w="1257" w:type="dxa"/>
            <w:vMerge w:val="restart"/>
            <w:shd w:val="clear" w:color="auto" w:fill="C7DAF1" w:themeFill="text2" w:themeFillTint="32"/>
          </w:tcPr>
          <w:p>
            <w:pPr>
              <w:shd w:val="clear" w:color="auto" w:fill="C7DAF1" w:themeFill="text2" w:themeFillTint="32"/>
            </w:pPr>
            <w:r>
              <w:rPr>
                <w:rFonts w:hint="eastAsia"/>
              </w:rPr>
              <w:t>运行</w:t>
            </w:r>
          </w:p>
        </w:tc>
        <w:tc>
          <w:tcPr>
            <w:tcW w:w="9057"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■工艺流程图 ■作业文件  ■检测计划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Height w:val="90"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■外来标准 企业标准  ■顾客要求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Height w:val="355"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Height w:val="355"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 xml:space="preserve">外部提供包括：■原材料采购 </w:t>
            </w:r>
            <w:r>
              <w:rPr>
                <w:rFonts w:hint="eastAsia" w:ascii="Wingdings" w:hAnsi="Wingdings"/>
              </w:rPr>
              <w:t>¨</w:t>
            </w:r>
            <w:r>
              <w:rPr>
                <w:rFonts w:hint="eastAsia"/>
              </w:rPr>
              <w:t xml:space="preserve">委托加工  ■顾客要求 运输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提供给外部供方的信息■符合要求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Height w:val="355"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jc w:val="left"/>
              <w:rPr>
                <w:rFonts w:hint="eastAsia" w:ascii="Times New Roman" w:hAnsi="Times New Roman" w:eastAsia="宋体" w:cs="Times New Roman"/>
              </w:rPr>
            </w:pPr>
            <w:r>
              <w:rPr>
                <w:rFonts w:hint="eastAsia" w:ascii="Times New Roman" w:hAnsi="Times New Roman" w:eastAsia="宋体" w:cs="Times New Roman"/>
              </w:rPr>
              <w:t>组织的生产和服务提供流程图（见第三条款），</w:t>
            </w:r>
          </w:p>
          <w:p>
            <w:pPr>
              <w:shd w:val="clear" w:color="auto" w:fill="C7DAF1" w:themeFill="text2" w:themeFillTint="32"/>
              <w:jc w:val="left"/>
            </w:pPr>
            <w:r>
              <w:rPr>
                <w:rFonts w:hint="eastAsia" w:ascii="Times New Roman" w:hAnsi="Times New Roman" w:eastAsia="宋体" w:cs="Times New Roman"/>
              </w:rPr>
              <w:t>认证范围内每种产品/服务流程的关键过程及</w:t>
            </w:r>
            <w:r>
              <w:rPr>
                <w:rFonts w:hint="eastAsia"/>
              </w:rPr>
              <w:t>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金属壳体</w:t>
                  </w: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压铸、钻孔攻牙、CNC电脑锣</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外观、尺寸、直径、质量符合要求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rPr>
                      <w:rFonts w:hint="default" w:eastAsia="宋体"/>
                      <w:lang w:val="en-US" w:eastAsia="zh-CN"/>
                    </w:rPr>
                  </w:pPr>
                  <w:r>
                    <w:rPr>
                      <w:rFonts w:hint="eastAsia"/>
                      <w:lang w:val="en-US" w:eastAsia="zh-CN"/>
                    </w:rPr>
                    <w:t>散热器</w:t>
                  </w:r>
                </w:p>
              </w:tc>
              <w:tc>
                <w:tcPr>
                  <w:tcW w:w="3665"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压铸、钻孔攻牙、CNC电脑锣</w:t>
                  </w:r>
                </w:p>
              </w:tc>
              <w:tc>
                <w:tcPr>
                  <w:tcW w:w="3265" w:type="dxa"/>
                  <w:vAlign w:val="top"/>
                </w:tcPr>
                <w:p>
                  <w:pPr>
                    <w:shd w:val="clear" w:color="auto" w:fill="C7DAF1" w:themeFill="text2" w:themeFillTint="32"/>
                    <w:jc w:val="left"/>
                    <w:rPr>
                      <w:rFonts w:hint="default" w:eastAsia="宋体"/>
                      <w:lang w:val="en-US" w:eastAsia="zh-CN"/>
                    </w:rPr>
                  </w:pPr>
                  <w:r>
                    <w:rPr>
                      <w:rFonts w:hint="eastAsia"/>
                      <w:lang w:val="en-US" w:eastAsia="zh-CN"/>
                    </w:rPr>
                    <w:t>外观、尺寸、直径、质量符合要求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2" w:type="dxa"/>
                </w:tcPr>
                <w:p>
                  <w:pPr>
                    <w:shd w:val="clear" w:color="auto" w:fill="C7DAF1" w:themeFill="text2" w:themeFillTint="32"/>
                    <w:jc w:val="left"/>
                    <w:rPr>
                      <w:rFonts w:hint="default"/>
                      <w:lang w:val="en-US"/>
                    </w:rPr>
                  </w:pPr>
                </w:p>
              </w:tc>
              <w:tc>
                <w:tcPr>
                  <w:tcW w:w="3665" w:type="dxa"/>
                  <w:vAlign w:val="top"/>
                </w:tcPr>
                <w:p>
                  <w:pPr>
                    <w:shd w:val="clear" w:color="auto" w:fill="C7DAF1" w:themeFill="text2" w:themeFillTint="32"/>
                    <w:jc w:val="left"/>
                    <w:rPr>
                      <w:rFonts w:hint="eastAsia" w:eastAsia="宋体"/>
                      <w:lang w:val="en-US" w:eastAsia="zh-CN"/>
                    </w:rPr>
                  </w:pPr>
                </w:p>
              </w:tc>
              <w:tc>
                <w:tcPr>
                  <w:tcW w:w="3265" w:type="dxa"/>
                  <w:vAlign w:val="top"/>
                </w:tcPr>
                <w:p>
                  <w:pPr>
                    <w:shd w:val="clear" w:color="auto" w:fill="C7DAF1" w:themeFill="text2" w:themeFillTint="32"/>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szCs w:val="21"/>
                      <w:lang w:val="en-US" w:eastAsia="zh-CN"/>
                    </w:rPr>
                  </w:pPr>
                </w:p>
              </w:tc>
              <w:tc>
                <w:tcPr>
                  <w:tcW w:w="3665" w:type="dxa"/>
                </w:tcPr>
                <w:p>
                  <w:pPr>
                    <w:shd w:val="clear" w:color="auto" w:fill="C7DAF1" w:themeFill="text2" w:themeFillTint="32"/>
                    <w:jc w:val="left"/>
                    <w:rPr>
                      <w:rFonts w:hint="default" w:eastAsia="宋体"/>
                      <w:lang w:val="en-US" w:eastAsia="zh-CN"/>
                    </w:rPr>
                  </w:pPr>
                </w:p>
              </w:tc>
              <w:tc>
                <w:tcPr>
                  <w:tcW w:w="3265"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压铸</w:t>
            </w:r>
            <w:r>
              <w:rPr>
                <w:rFonts w:hint="eastAsia"/>
                <w:u w:val="single"/>
              </w:rPr>
              <w:t xml:space="preserve">                            </w:t>
            </w:r>
            <w:r>
              <w:rPr>
                <w:rFonts w:hint="eastAsia"/>
              </w:rPr>
              <w:t xml:space="preserve"> ，</w:t>
            </w:r>
          </w:p>
          <w:p>
            <w:pPr>
              <w:shd w:val="clear" w:color="auto" w:fill="C7DAF1" w:themeFill="text2" w:themeFillTint="32"/>
              <w:jc w:val="left"/>
            </w:pP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 xml:space="preserve">对生产和服务提供过程的控制■符合要求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Height w:val="355"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 xml:space="preserve">采用的标识方式：标签 ■标牌 ■区域 </w:t>
            </w:r>
            <w:r>
              <w:rPr>
                <w:rFonts w:hint="eastAsia" w:ascii="Wingdings" w:hAnsi="Wingdings"/>
              </w:rPr>
              <w:t>¨</w:t>
            </w:r>
            <w:r>
              <w:rPr>
                <w:rFonts w:hint="eastAsia"/>
              </w:rPr>
              <w:t xml:space="preserve">容器编号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可追溯性实现：■符合要求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Height w:val="355"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rPr>
              <w:t xml:space="preserve">■原材料 ■设备 </w:t>
            </w:r>
            <w:r>
              <w:rPr>
                <w:rFonts w:hint="eastAsia" w:ascii="Wingdings" w:hAnsi="Wingdings"/>
              </w:rPr>
              <w:t>¨</w:t>
            </w:r>
            <w:r>
              <w:rPr>
                <w:rFonts w:hint="eastAsia"/>
              </w:rPr>
              <w:t xml:space="preserve">检测设备 ■图纸 </w:t>
            </w:r>
            <w:r>
              <w:rPr>
                <w:rFonts w:hint="eastAsia" w:ascii="Wingdings" w:hAnsi="Wingdings"/>
              </w:rPr>
              <w:t>¨</w:t>
            </w:r>
            <w:r>
              <w:rPr>
                <w:rFonts w:hint="eastAsia"/>
              </w:rPr>
              <w:t xml:space="preserve">配方 </w:t>
            </w:r>
            <w:r>
              <w:rPr>
                <w:rFonts w:hint="eastAsia" w:ascii="Wingdings" w:hAnsi="Wingdings"/>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顾客或外部供方财产控制：■符合要求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Height w:val="355"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 xml:space="preserve">产品防护：■符合要求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Height w:val="355"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■维修 ■赔偿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 xml:space="preserve">交付后活动：■符合要求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Height w:val="355"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 xml:space="preserve">变更控制：符合要求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Height w:val="355"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 xml:space="preserve">实施了■进货检验 ■首件检验 ■过程检验 ■最终检验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 xml:space="preserve">产品检验/服务放行：■符合要求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Height w:val="355"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 xml:space="preserve">不合格品控制：■符合要求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Pr>
        <w:tc>
          <w:tcPr>
            <w:tcW w:w="1257" w:type="dxa"/>
            <w:vMerge w:val="restart"/>
            <w:shd w:val="clear" w:color="auto" w:fill="C7DAF1" w:themeFill="text2" w:themeFillTint="32"/>
          </w:tcPr>
          <w:p>
            <w:pPr>
              <w:shd w:val="clear" w:color="auto" w:fill="C7DAF1" w:themeFill="text2" w:themeFillTint="32"/>
            </w:pPr>
            <w:r>
              <w:rPr>
                <w:rFonts w:hint="eastAsia"/>
              </w:rPr>
              <w:t>绩效评价</w:t>
            </w:r>
          </w:p>
        </w:tc>
        <w:tc>
          <w:tcPr>
            <w:tcW w:w="9057"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t xml:space="preserve">■顾客调查 ■顾客对交付产品或服务的反馈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lang w:val="en-US" w:eastAsia="zh-CN"/>
              </w:rPr>
              <w:t>25</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Pr>
        <w:tc>
          <w:tcPr>
            <w:tcW w:w="1257" w:type="dxa"/>
            <w:vMerge w:val="restart"/>
            <w:shd w:val="clear" w:color="auto" w:fill="C7DAF1" w:themeFill="text2" w:themeFillTint="32"/>
          </w:tcPr>
          <w:p>
            <w:pPr>
              <w:shd w:val="clear" w:color="auto" w:fill="C7DAF1" w:themeFill="text2" w:themeFillTint="32"/>
            </w:pPr>
            <w:r>
              <w:rPr>
                <w:rFonts w:hint="eastAsia"/>
              </w:rPr>
              <w:t>改进</w:t>
            </w:r>
          </w:p>
        </w:tc>
        <w:tc>
          <w:tcPr>
            <w:tcW w:w="9057"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rPr>
              <w:t xml:space="preserve">■内审不符合项   ■外审不符合项  ■管理评审   ■目标统计分析结果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wAfter w:w="108" w:type="dxa"/>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tbl>
      <w:tblPr>
        <w:tblStyle w:val="8"/>
        <w:tblW w:w="104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62"/>
        <w:gridCol w:w="664"/>
        <w:gridCol w:w="664"/>
        <w:gridCol w:w="663"/>
        <w:gridCol w:w="664"/>
        <w:gridCol w:w="664"/>
        <w:gridCol w:w="663"/>
        <w:gridCol w:w="664"/>
        <w:gridCol w:w="664"/>
        <w:gridCol w:w="663"/>
        <w:gridCol w:w="664"/>
        <w:gridCol w:w="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108" w:type="dxa"/>
          <w:trHeight w:val="315" w:hRule="atLeast"/>
        </w:trPr>
        <w:tc>
          <w:tcPr>
            <w:tcW w:w="2435" w:type="dxa"/>
            <w:vAlign w:val="center"/>
          </w:tcPr>
          <w:p>
            <w:pPr>
              <w:shd w:val="clear" w:color="auto" w:fill="C7DAF1" w:themeFill="text2" w:themeFillTint="32"/>
              <w:rPr>
                <w:lang w:eastAsia="ja-JP"/>
              </w:rPr>
            </w:pPr>
            <w:r>
              <w:rPr>
                <w:rFonts w:hint="eastAsia"/>
                <w:lang w:val="en-GB"/>
              </w:rPr>
              <w:t>标准条款</w:t>
            </w:r>
          </w:p>
        </w:tc>
        <w:tc>
          <w:tcPr>
            <w:tcW w:w="655" w:type="dxa"/>
            <w:vAlign w:val="center"/>
          </w:tcPr>
          <w:p>
            <w:pPr>
              <w:shd w:val="clear" w:color="auto" w:fill="C7DAF1" w:themeFill="text2" w:themeFillTint="32"/>
              <w:rPr>
                <w:lang w:eastAsia="ja-JP"/>
              </w:rPr>
            </w:pPr>
            <w:r>
              <w:rPr>
                <w:rFonts w:hint="eastAsia"/>
              </w:rPr>
              <w:t>4.1</w:t>
            </w:r>
          </w:p>
        </w:tc>
        <w:tc>
          <w:tcPr>
            <w:tcW w:w="657" w:type="dxa"/>
            <w:vAlign w:val="center"/>
          </w:tcPr>
          <w:p>
            <w:pPr>
              <w:shd w:val="clear" w:color="auto" w:fill="C7DAF1" w:themeFill="text2" w:themeFillTint="32"/>
              <w:rPr>
                <w:lang w:eastAsia="ja-JP"/>
              </w:rPr>
            </w:pPr>
            <w:r>
              <w:rPr>
                <w:rFonts w:hint="eastAsia"/>
              </w:rPr>
              <w:t>4.2</w:t>
            </w:r>
          </w:p>
        </w:tc>
        <w:tc>
          <w:tcPr>
            <w:tcW w:w="657" w:type="dxa"/>
            <w:vAlign w:val="center"/>
          </w:tcPr>
          <w:p>
            <w:pPr>
              <w:shd w:val="clear" w:color="auto" w:fill="C7DAF1" w:themeFill="text2" w:themeFillTint="32"/>
              <w:rPr>
                <w:lang w:eastAsia="ja-JP"/>
              </w:rPr>
            </w:pPr>
            <w:r>
              <w:rPr>
                <w:rFonts w:hint="eastAsia"/>
              </w:rPr>
              <w:t>4.3</w:t>
            </w:r>
          </w:p>
        </w:tc>
        <w:tc>
          <w:tcPr>
            <w:tcW w:w="656" w:type="dxa"/>
            <w:vAlign w:val="center"/>
          </w:tcPr>
          <w:p>
            <w:pPr>
              <w:shd w:val="clear" w:color="auto" w:fill="C7DAF1" w:themeFill="text2" w:themeFillTint="32"/>
              <w:rPr>
                <w:lang w:eastAsia="ja-JP"/>
              </w:rPr>
            </w:pPr>
            <w:r>
              <w:rPr>
                <w:rFonts w:hint="eastAsia"/>
              </w:rPr>
              <w:t>4.4</w:t>
            </w:r>
          </w:p>
        </w:tc>
        <w:tc>
          <w:tcPr>
            <w:tcW w:w="657" w:type="dxa"/>
            <w:vAlign w:val="center"/>
          </w:tcPr>
          <w:p>
            <w:pPr>
              <w:shd w:val="clear" w:color="auto" w:fill="C7DAF1" w:themeFill="text2" w:themeFillTint="32"/>
              <w:rPr>
                <w:lang w:eastAsia="ja-JP"/>
              </w:rPr>
            </w:pPr>
            <w:r>
              <w:rPr>
                <w:rFonts w:hint="eastAsia"/>
              </w:rPr>
              <w:t>5.1</w:t>
            </w:r>
          </w:p>
        </w:tc>
        <w:tc>
          <w:tcPr>
            <w:tcW w:w="657" w:type="dxa"/>
            <w:vAlign w:val="center"/>
          </w:tcPr>
          <w:p>
            <w:pPr>
              <w:shd w:val="clear" w:color="auto" w:fill="C7DAF1" w:themeFill="text2" w:themeFillTint="32"/>
              <w:rPr>
                <w:lang w:eastAsia="ja-JP"/>
              </w:rPr>
            </w:pPr>
            <w:r>
              <w:rPr>
                <w:rFonts w:hint="eastAsia"/>
              </w:rPr>
              <w:t>5.2</w:t>
            </w:r>
          </w:p>
        </w:tc>
        <w:tc>
          <w:tcPr>
            <w:tcW w:w="656" w:type="dxa"/>
            <w:vAlign w:val="center"/>
          </w:tcPr>
          <w:p>
            <w:pPr>
              <w:shd w:val="clear" w:color="auto" w:fill="C7DAF1" w:themeFill="text2" w:themeFillTint="32"/>
              <w:rPr>
                <w:lang w:eastAsia="ja-JP"/>
              </w:rPr>
            </w:pPr>
            <w:r>
              <w:rPr>
                <w:rFonts w:hint="eastAsia"/>
              </w:rPr>
              <w:t>5.3</w:t>
            </w:r>
          </w:p>
        </w:tc>
        <w:tc>
          <w:tcPr>
            <w:tcW w:w="657" w:type="dxa"/>
            <w:vAlign w:val="center"/>
          </w:tcPr>
          <w:p>
            <w:pPr>
              <w:shd w:val="clear" w:color="auto" w:fill="C7DAF1" w:themeFill="text2" w:themeFillTint="32"/>
              <w:rPr>
                <w:lang w:eastAsia="ja-JP"/>
              </w:rPr>
            </w:pPr>
            <w:r>
              <w:rPr>
                <w:rFonts w:hint="eastAsia"/>
              </w:rPr>
              <w:t>6.1</w:t>
            </w:r>
          </w:p>
        </w:tc>
        <w:tc>
          <w:tcPr>
            <w:tcW w:w="657" w:type="dxa"/>
            <w:vAlign w:val="center"/>
          </w:tcPr>
          <w:p>
            <w:pPr>
              <w:shd w:val="clear" w:color="auto" w:fill="C7DAF1" w:themeFill="text2" w:themeFillTint="32"/>
              <w:rPr>
                <w:lang w:eastAsia="ja-JP"/>
              </w:rPr>
            </w:pPr>
            <w:r>
              <w:rPr>
                <w:rFonts w:hint="eastAsia"/>
              </w:rPr>
              <w:t>6.2</w:t>
            </w:r>
          </w:p>
        </w:tc>
        <w:tc>
          <w:tcPr>
            <w:tcW w:w="656" w:type="dxa"/>
            <w:vAlign w:val="center"/>
          </w:tcPr>
          <w:p>
            <w:pPr>
              <w:shd w:val="clear" w:color="auto" w:fill="C7DAF1" w:themeFill="text2" w:themeFillTint="32"/>
              <w:rPr>
                <w:lang w:eastAsia="ja-JP"/>
              </w:rPr>
            </w:pPr>
            <w:r>
              <w:rPr>
                <w:rFonts w:hint="eastAsia"/>
              </w:rPr>
              <w:t>6.3</w:t>
            </w:r>
          </w:p>
        </w:tc>
        <w:tc>
          <w:tcPr>
            <w:tcW w:w="657" w:type="dxa"/>
            <w:shd w:val="clear" w:color="auto" w:fill="BFBFBF"/>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108" w:type="dxa"/>
          <w:trHeight w:val="315" w:hRule="atLeast"/>
        </w:trPr>
        <w:tc>
          <w:tcPr>
            <w:tcW w:w="2435" w:type="dxa"/>
            <w:vAlign w:val="center"/>
          </w:tcPr>
          <w:p>
            <w:pPr>
              <w:shd w:val="clear" w:color="auto" w:fill="C7DAF1" w:themeFill="text2" w:themeFillTint="32"/>
              <w:rPr>
                <w:lang w:eastAsia="ja-JP"/>
              </w:rPr>
            </w:pPr>
            <w:r>
              <w:rPr>
                <w:rFonts w:hint="eastAsia"/>
                <w:lang w:val="en-GB"/>
              </w:rPr>
              <w:t>评价*)</w:t>
            </w:r>
          </w:p>
        </w:tc>
        <w:tc>
          <w:tcPr>
            <w:tcW w:w="655"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shd w:val="clear" w:color="auto" w:fill="BFBFBF"/>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108" w:type="dxa"/>
          <w:trHeight w:val="315" w:hRule="atLeast"/>
        </w:trPr>
        <w:tc>
          <w:tcPr>
            <w:tcW w:w="2435" w:type="dxa"/>
            <w:vAlign w:val="center"/>
          </w:tcPr>
          <w:p>
            <w:pPr>
              <w:shd w:val="clear" w:color="auto" w:fill="C7DAF1" w:themeFill="text2" w:themeFillTint="32"/>
            </w:pPr>
            <w:r>
              <w:rPr>
                <w:rFonts w:hint="eastAsia"/>
              </w:rPr>
              <w:t>不符合数量</w:t>
            </w:r>
          </w:p>
        </w:tc>
        <w:tc>
          <w:tcPr>
            <w:tcW w:w="655"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6"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6"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6" w:type="dxa"/>
            <w:vAlign w:val="center"/>
          </w:tcPr>
          <w:p>
            <w:pPr>
              <w:shd w:val="clear" w:color="auto" w:fill="C7DAF1" w:themeFill="text2" w:themeFillTint="32"/>
              <w:rPr>
                <w:lang w:eastAsia="ja-JP"/>
              </w:rPr>
            </w:pPr>
          </w:p>
        </w:tc>
        <w:tc>
          <w:tcPr>
            <w:tcW w:w="657" w:type="dxa"/>
            <w:shd w:val="clear" w:color="auto" w:fill="BFBFBF"/>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108" w:type="dxa"/>
          <w:trHeight w:val="315" w:hRule="atLeast"/>
        </w:trPr>
        <w:tc>
          <w:tcPr>
            <w:tcW w:w="2435" w:type="dxa"/>
            <w:vAlign w:val="center"/>
          </w:tcPr>
          <w:p>
            <w:pPr>
              <w:shd w:val="clear" w:color="auto" w:fill="C7DAF1" w:themeFill="text2" w:themeFillTint="32"/>
              <w:rPr>
                <w:lang w:eastAsia="ja-JP"/>
              </w:rPr>
            </w:pPr>
            <w:r>
              <w:rPr>
                <w:rFonts w:hint="eastAsia"/>
                <w:lang w:val="en-GB"/>
              </w:rPr>
              <w:t>标准条款</w:t>
            </w:r>
          </w:p>
        </w:tc>
        <w:tc>
          <w:tcPr>
            <w:tcW w:w="655" w:type="dxa"/>
            <w:vAlign w:val="center"/>
          </w:tcPr>
          <w:p>
            <w:pPr>
              <w:shd w:val="clear" w:color="auto" w:fill="C7DAF1" w:themeFill="text2" w:themeFillTint="32"/>
              <w:rPr>
                <w:lang w:eastAsia="ja-JP"/>
              </w:rPr>
            </w:pPr>
            <w:r>
              <w:rPr>
                <w:rFonts w:hint="eastAsia"/>
              </w:rPr>
              <w:t>7.1</w:t>
            </w:r>
          </w:p>
        </w:tc>
        <w:tc>
          <w:tcPr>
            <w:tcW w:w="657" w:type="dxa"/>
            <w:vAlign w:val="center"/>
          </w:tcPr>
          <w:p>
            <w:pPr>
              <w:shd w:val="clear" w:color="auto" w:fill="C7DAF1" w:themeFill="text2" w:themeFillTint="32"/>
              <w:rPr>
                <w:lang w:eastAsia="ja-JP"/>
              </w:rPr>
            </w:pPr>
            <w:r>
              <w:rPr>
                <w:rFonts w:hint="eastAsia"/>
              </w:rPr>
              <w:t>7.2</w:t>
            </w:r>
          </w:p>
        </w:tc>
        <w:tc>
          <w:tcPr>
            <w:tcW w:w="657" w:type="dxa"/>
            <w:vAlign w:val="center"/>
          </w:tcPr>
          <w:p>
            <w:pPr>
              <w:shd w:val="clear" w:color="auto" w:fill="C7DAF1" w:themeFill="text2" w:themeFillTint="32"/>
              <w:rPr>
                <w:lang w:eastAsia="ja-JP"/>
              </w:rPr>
            </w:pPr>
            <w:r>
              <w:rPr>
                <w:rFonts w:hint="eastAsia"/>
              </w:rPr>
              <w:t>7.3</w:t>
            </w:r>
          </w:p>
        </w:tc>
        <w:tc>
          <w:tcPr>
            <w:tcW w:w="656" w:type="dxa"/>
            <w:vAlign w:val="center"/>
          </w:tcPr>
          <w:p>
            <w:pPr>
              <w:shd w:val="clear" w:color="auto" w:fill="C7DAF1" w:themeFill="text2" w:themeFillTint="32"/>
              <w:rPr>
                <w:lang w:eastAsia="ja-JP"/>
              </w:rPr>
            </w:pPr>
            <w:r>
              <w:rPr>
                <w:rFonts w:hint="eastAsia"/>
              </w:rPr>
              <w:t>7.4</w:t>
            </w:r>
          </w:p>
        </w:tc>
        <w:tc>
          <w:tcPr>
            <w:tcW w:w="657" w:type="dxa"/>
            <w:vAlign w:val="center"/>
          </w:tcPr>
          <w:p>
            <w:pPr>
              <w:shd w:val="clear" w:color="auto" w:fill="C7DAF1" w:themeFill="text2" w:themeFillTint="32"/>
              <w:rPr>
                <w:lang w:eastAsia="ja-JP"/>
              </w:rPr>
            </w:pPr>
            <w:r>
              <w:rPr>
                <w:rFonts w:hint="eastAsia"/>
              </w:rPr>
              <w:t>7.5</w:t>
            </w:r>
          </w:p>
        </w:tc>
        <w:tc>
          <w:tcPr>
            <w:tcW w:w="657" w:type="dxa"/>
            <w:vAlign w:val="center"/>
          </w:tcPr>
          <w:p>
            <w:pPr>
              <w:shd w:val="clear" w:color="auto" w:fill="C7DAF1" w:themeFill="text2" w:themeFillTint="32"/>
              <w:rPr>
                <w:lang w:eastAsia="ja-JP"/>
              </w:rPr>
            </w:pPr>
            <w:r>
              <w:rPr>
                <w:rFonts w:hint="eastAsia"/>
              </w:rPr>
              <w:t>8.1</w:t>
            </w:r>
          </w:p>
        </w:tc>
        <w:tc>
          <w:tcPr>
            <w:tcW w:w="656" w:type="dxa"/>
            <w:vAlign w:val="center"/>
          </w:tcPr>
          <w:p>
            <w:pPr>
              <w:shd w:val="clear" w:color="auto" w:fill="C7DAF1" w:themeFill="text2" w:themeFillTint="32"/>
              <w:rPr>
                <w:lang w:eastAsia="ja-JP"/>
              </w:rPr>
            </w:pPr>
            <w:r>
              <w:rPr>
                <w:rFonts w:hint="eastAsia"/>
              </w:rPr>
              <w:t>8.2</w:t>
            </w:r>
          </w:p>
        </w:tc>
        <w:tc>
          <w:tcPr>
            <w:tcW w:w="657" w:type="dxa"/>
            <w:vAlign w:val="center"/>
          </w:tcPr>
          <w:p>
            <w:pPr>
              <w:shd w:val="clear" w:color="auto" w:fill="C7DAF1" w:themeFill="text2" w:themeFillTint="32"/>
              <w:rPr>
                <w:lang w:eastAsia="ja-JP"/>
              </w:rPr>
            </w:pPr>
            <w:r>
              <w:rPr>
                <w:rFonts w:hint="eastAsia"/>
              </w:rPr>
              <w:t>8.3</w:t>
            </w:r>
          </w:p>
        </w:tc>
        <w:tc>
          <w:tcPr>
            <w:tcW w:w="657" w:type="dxa"/>
            <w:vAlign w:val="center"/>
          </w:tcPr>
          <w:p>
            <w:pPr>
              <w:shd w:val="clear" w:color="auto" w:fill="C7DAF1" w:themeFill="text2" w:themeFillTint="32"/>
              <w:rPr>
                <w:lang w:eastAsia="ja-JP"/>
              </w:rPr>
            </w:pPr>
            <w:r>
              <w:rPr>
                <w:rFonts w:hint="eastAsia"/>
              </w:rPr>
              <w:t>8.4</w:t>
            </w:r>
          </w:p>
        </w:tc>
        <w:tc>
          <w:tcPr>
            <w:tcW w:w="656" w:type="dxa"/>
            <w:vAlign w:val="center"/>
          </w:tcPr>
          <w:p>
            <w:pPr>
              <w:shd w:val="clear" w:color="auto" w:fill="C7DAF1" w:themeFill="text2" w:themeFillTint="32"/>
              <w:rPr>
                <w:lang w:eastAsia="ja-JP"/>
              </w:rPr>
            </w:pPr>
            <w:r>
              <w:rPr>
                <w:rFonts w:hint="eastAsia"/>
              </w:rPr>
              <w:t>8.5</w:t>
            </w:r>
          </w:p>
        </w:tc>
        <w:tc>
          <w:tcPr>
            <w:tcW w:w="657" w:type="dxa"/>
            <w:vAlign w:val="center"/>
          </w:tcPr>
          <w:p>
            <w:pPr>
              <w:shd w:val="clear" w:color="auto" w:fill="C7DAF1" w:themeFill="text2" w:themeFillTint="32"/>
              <w:rPr>
                <w:lang w:eastAsia="ja-JP"/>
              </w:rPr>
            </w:pPr>
            <w:r>
              <w:rPr>
                <w:rFonts w:hint="eastAsia"/>
              </w:rPr>
              <w:t>8.6</w:t>
            </w:r>
          </w:p>
        </w:tc>
        <w:tc>
          <w:tcPr>
            <w:tcW w:w="657"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108" w:type="dxa"/>
          <w:trHeight w:val="315" w:hRule="atLeast"/>
        </w:trPr>
        <w:tc>
          <w:tcPr>
            <w:tcW w:w="2435" w:type="dxa"/>
            <w:vAlign w:val="center"/>
          </w:tcPr>
          <w:p>
            <w:pPr>
              <w:shd w:val="clear" w:color="auto" w:fill="C7DAF1" w:themeFill="text2" w:themeFillTint="32"/>
              <w:rPr>
                <w:lang w:eastAsia="ja-JP"/>
              </w:rPr>
            </w:pPr>
            <w:r>
              <w:rPr>
                <w:rFonts w:hint="eastAsia"/>
                <w:lang w:val="en-GB"/>
              </w:rPr>
              <w:t>评价*)</w:t>
            </w:r>
          </w:p>
        </w:tc>
        <w:tc>
          <w:tcPr>
            <w:tcW w:w="655"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default" w:eastAsia="宋体"/>
                <w:lang w:val="en-US" w:eastAsia="zh-CN"/>
              </w:rPr>
            </w:pPr>
            <w:r>
              <w:rPr>
                <w:rFonts w:hint="eastAsia"/>
                <w:lang w:val="en-US" w:eastAsia="zh-CN"/>
              </w:rPr>
              <w:t>3</w:t>
            </w:r>
          </w:p>
        </w:tc>
        <w:tc>
          <w:tcPr>
            <w:tcW w:w="65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108" w:type="dxa"/>
          <w:trHeight w:val="315" w:hRule="atLeast"/>
        </w:trPr>
        <w:tc>
          <w:tcPr>
            <w:tcW w:w="2435" w:type="dxa"/>
            <w:vAlign w:val="center"/>
          </w:tcPr>
          <w:p>
            <w:pPr>
              <w:shd w:val="clear" w:color="auto" w:fill="C7DAF1" w:themeFill="text2" w:themeFillTint="32"/>
              <w:rPr>
                <w:lang w:eastAsia="ja-JP"/>
              </w:rPr>
            </w:pPr>
            <w:r>
              <w:rPr>
                <w:rFonts w:hint="eastAsia"/>
              </w:rPr>
              <w:t>不符合数量</w:t>
            </w:r>
          </w:p>
        </w:tc>
        <w:tc>
          <w:tcPr>
            <w:tcW w:w="655"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6"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6" w:type="dxa"/>
            <w:tcBorders>
              <w:bottom w:val="single" w:color="auto" w:sz="4" w:space="0"/>
            </w:tcBorders>
            <w:vAlign w:val="center"/>
          </w:tcPr>
          <w:p>
            <w:pPr>
              <w:shd w:val="clear" w:color="auto" w:fill="C7DAF1" w:themeFill="text2" w:themeFillTint="32"/>
              <w:rPr>
                <w:lang w:eastAsia="ja-JP"/>
              </w:rPr>
            </w:pPr>
          </w:p>
        </w:tc>
        <w:tc>
          <w:tcPr>
            <w:tcW w:w="657" w:type="dxa"/>
            <w:tcBorders>
              <w:bottom w:val="single" w:color="auto" w:sz="4" w:space="0"/>
            </w:tcBorders>
            <w:vAlign w:val="center"/>
          </w:tcPr>
          <w:p>
            <w:pPr>
              <w:shd w:val="clear" w:color="auto" w:fill="C7DAF1" w:themeFill="text2" w:themeFillTint="32"/>
              <w:rPr>
                <w:lang w:eastAsia="ja-JP"/>
              </w:rPr>
            </w:pPr>
          </w:p>
        </w:tc>
        <w:tc>
          <w:tcPr>
            <w:tcW w:w="657" w:type="dxa"/>
            <w:tcBorders>
              <w:bottom w:val="single" w:color="auto" w:sz="4" w:space="0"/>
            </w:tcBorders>
            <w:vAlign w:val="center"/>
          </w:tcPr>
          <w:p>
            <w:pPr>
              <w:shd w:val="clear" w:color="auto" w:fill="C7DAF1" w:themeFill="text2" w:themeFillTint="32"/>
              <w:rPr>
                <w:lang w:eastAsia="ja-JP"/>
              </w:rPr>
            </w:pPr>
          </w:p>
        </w:tc>
        <w:tc>
          <w:tcPr>
            <w:tcW w:w="656" w:type="dxa"/>
            <w:tcBorders>
              <w:bottom w:val="single" w:color="auto" w:sz="4" w:space="0"/>
            </w:tcBorders>
            <w:vAlign w:val="center"/>
          </w:tcPr>
          <w:p>
            <w:pPr>
              <w:shd w:val="clear" w:color="auto" w:fill="C7DAF1" w:themeFill="text2" w:themeFillTint="32"/>
              <w:rPr>
                <w:lang w:eastAsia="ja-JP"/>
              </w:rPr>
            </w:pPr>
          </w:p>
        </w:tc>
        <w:tc>
          <w:tcPr>
            <w:tcW w:w="657" w:type="dxa"/>
            <w:tcBorders>
              <w:bottom w:val="single" w:color="auto" w:sz="4" w:space="0"/>
            </w:tcBorders>
            <w:vAlign w:val="center"/>
          </w:tcPr>
          <w:p>
            <w:pPr>
              <w:shd w:val="clear" w:color="auto" w:fill="C7DAF1" w:themeFill="text2" w:themeFillTint="32"/>
              <w:rPr>
                <w:lang w:eastAsia="ja-JP"/>
              </w:rPr>
            </w:pPr>
          </w:p>
        </w:tc>
        <w:tc>
          <w:tcPr>
            <w:tcW w:w="657"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108" w:type="dxa"/>
          <w:trHeight w:val="315" w:hRule="atLeast"/>
        </w:trPr>
        <w:tc>
          <w:tcPr>
            <w:tcW w:w="2435" w:type="dxa"/>
            <w:vAlign w:val="center"/>
          </w:tcPr>
          <w:p>
            <w:pPr>
              <w:shd w:val="clear" w:color="auto" w:fill="C7DAF1" w:themeFill="text2" w:themeFillTint="32"/>
              <w:rPr>
                <w:lang w:eastAsia="ja-JP"/>
              </w:rPr>
            </w:pPr>
            <w:r>
              <w:rPr>
                <w:rFonts w:hint="eastAsia"/>
                <w:lang w:val="en-GB"/>
              </w:rPr>
              <w:t>标准条款</w:t>
            </w:r>
          </w:p>
        </w:tc>
        <w:tc>
          <w:tcPr>
            <w:tcW w:w="655" w:type="dxa"/>
            <w:vAlign w:val="center"/>
          </w:tcPr>
          <w:p>
            <w:pPr>
              <w:shd w:val="clear" w:color="auto" w:fill="C7DAF1" w:themeFill="text2" w:themeFillTint="32"/>
              <w:rPr>
                <w:lang w:eastAsia="ja-JP"/>
              </w:rPr>
            </w:pPr>
            <w:r>
              <w:rPr>
                <w:rFonts w:hint="eastAsia"/>
              </w:rPr>
              <w:t>9.1</w:t>
            </w:r>
          </w:p>
        </w:tc>
        <w:tc>
          <w:tcPr>
            <w:tcW w:w="657" w:type="dxa"/>
            <w:vAlign w:val="center"/>
          </w:tcPr>
          <w:p>
            <w:pPr>
              <w:shd w:val="clear" w:color="auto" w:fill="C7DAF1" w:themeFill="text2" w:themeFillTint="32"/>
              <w:rPr>
                <w:lang w:eastAsia="ja-JP"/>
              </w:rPr>
            </w:pPr>
            <w:r>
              <w:rPr>
                <w:rFonts w:hint="eastAsia"/>
              </w:rPr>
              <w:t>9.2</w:t>
            </w:r>
          </w:p>
        </w:tc>
        <w:tc>
          <w:tcPr>
            <w:tcW w:w="657" w:type="dxa"/>
            <w:vAlign w:val="center"/>
          </w:tcPr>
          <w:p>
            <w:pPr>
              <w:shd w:val="clear" w:color="auto" w:fill="C7DAF1" w:themeFill="text2" w:themeFillTint="32"/>
              <w:rPr>
                <w:lang w:eastAsia="ja-JP"/>
              </w:rPr>
            </w:pPr>
            <w:r>
              <w:rPr>
                <w:rFonts w:hint="eastAsia"/>
              </w:rPr>
              <w:t>9.3</w:t>
            </w:r>
          </w:p>
        </w:tc>
        <w:tc>
          <w:tcPr>
            <w:tcW w:w="656" w:type="dxa"/>
            <w:vAlign w:val="center"/>
          </w:tcPr>
          <w:p>
            <w:pPr>
              <w:shd w:val="clear" w:color="auto" w:fill="C7DAF1" w:themeFill="text2" w:themeFillTint="32"/>
              <w:rPr>
                <w:lang w:eastAsia="ja-JP"/>
              </w:rPr>
            </w:pPr>
            <w:r>
              <w:rPr>
                <w:rFonts w:hint="eastAsia"/>
              </w:rPr>
              <w:t>10.1</w:t>
            </w:r>
          </w:p>
        </w:tc>
        <w:tc>
          <w:tcPr>
            <w:tcW w:w="657" w:type="dxa"/>
            <w:vAlign w:val="center"/>
          </w:tcPr>
          <w:p>
            <w:pPr>
              <w:shd w:val="clear" w:color="auto" w:fill="C7DAF1" w:themeFill="text2" w:themeFillTint="32"/>
              <w:rPr>
                <w:lang w:eastAsia="ja-JP"/>
              </w:rPr>
            </w:pPr>
            <w:r>
              <w:rPr>
                <w:rFonts w:hint="eastAsia"/>
              </w:rPr>
              <w:t>10.2</w:t>
            </w:r>
          </w:p>
        </w:tc>
        <w:tc>
          <w:tcPr>
            <w:tcW w:w="657" w:type="dxa"/>
            <w:vAlign w:val="center"/>
          </w:tcPr>
          <w:p>
            <w:pPr>
              <w:shd w:val="clear" w:color="auto" w:fill="C7DAF1" w:themeFill="text2" w:themeFillTint="32"/>
              <w:rPr>
                <w:lang w:eastAsia="ja-JP"/>
              </w:rPr>
            </w:pPr>
            <w:r>
              <w:rPr>
                <w:rFonts w:hint="eastAsia"/>
              </w:rPr>
              <w:t>10.3</w:t>
            </w:r>
          </w:p>
        </w:tc>
        <w:tc>
          <w:tcPr>
            <w:tcW w:w="656"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6"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108" w:type="dxa"/>
          <w:trHeight w:val="315" w:hRule="atLeast"/>
        </w:trPr>
        <w:tc>
          <w:tcPr>
            <w:tcW w:w="2435" w:type="dxa"/>
            <w:vAlign w:val="center"/>
          </w:tcPr>
          <w:p>
            <w:pPr>
              <w:shd w:val="clear" w:color="auto" w:fill="C7DAF1" w:themeFill="text2" w:themeFillTint="32"/>
              <w:rPr>
                <w:lang w:eastAsia="ja-JP"/>
              </w:rPr>
            </w:pPr>
            <w:r>
              <w:rPr>
                <w:rFonts w:hint="eastAsia"/>
                <w:lang w:val="en-GB"/>
              </w:rPr>
              <w:t>评价*)</w:t>
            </w:r>
          </w:p>
        </w:tc>
        <w:tc>
          <w:tcPr>
            <w:tcW w:w="655"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6"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108" w:type="dxa"/>
          <w:trHeight w:val="315" w:hRule="atLeast"/>
        </w:trPr>
        <w:tc>
          <w:tcPr>
            <w:tcW w:w="2435" w:type="dxa"/>
            <w:vAlign w:val="center"/>
          </w:tcPr>
          <w:p>
            <w:pPr>
              <w:shd w:val="clear" w:color="auto" w:fill="C7DAF1" w:themeFill="text2" w:themeFillTint="32"/>
              <w:rPr>
                <w:lang w:eastAsia="ja-JP"/>
              </w:rPr>
            </w:pPr>
            <w:r>
              <w:rPr>
                <w:rFonts w:hint="eastAsia"/>
              </w:rPr>
              <w:t>不符合数量</w:t>
            </w:r>
          </w:p>
        </w:tc>
        <w:tc>
          <w:tcPr>
            <w:tcW w:w="655"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6"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6"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6"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rPr>
          <w:rFonts w:eastAsia="微软雅黑"/>
        </w:rPr>
      </w:pPr>
      <w:r>
        <w:tab/>
      </w:r>
      <w:r>
        <w:tab/>
      </w:r>
      <w:r>
        <w:t>4 =不适用</w:t>
      </w:r>
      <w:bookmarkStart w:id="35" w:name="_GoBack"/>
      <w:bookmarkEnd w:id="35"/>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I4NjI5OTBmMDM1ODFlMDkzNDFlZTFiMWNhZWU5ZTMifQ=="/>
  </w:docVars>
  <w:rsids>
    <w:rsidRoot w:val="00000000"/>
    <w:rsid w:val="142431C9"/>
    <w:rsid w:val="4D6526A0"/>
    <w:rsid w:val="74BB7E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2</TotalTime>
  <ScaleCrop>false</ScaleCrop>
  <LinksUpToDate>false</LinksUpToDate>
  <CharactersWithSpaces>21168</CharactersWithSpaces>
  <Application>WPS Office_11.1.0.12349_F1E327BC-269C-435d-A152-05C5408002CA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企业咨询17334292415</cp:lastModifiedBy>
  <cp:lastPrinted>2019-05-13T03:19:00Z</cp:lastPrinted>
  <dcterms:modified xsi:type="dcterms:W3CDTF">2022-08-21T08:37:47Z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2052-11.1.0.12349</vt:lpwstr>
  </property>
</Properties>
</file>