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东莞欣升阳精密科技有限公司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广东省东莞市凤岗镇五联工业二路3号1号楼101室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广东省东莞市凤岗镇五联工业二路3号1号楼101室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时金花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18926043348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段振阳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管代电话"/>
            <w:bookmarkEnd w:id="7"/>
            <w:r>
              <w:rPr>
                <w:rFonts w:hint="eastAsia"/>
                <w:lang w:val="en-US" w:eastAsia="zh-CN"/>
              </w:rPr>
              <w:t>13592732759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金属仪表壳、铝合金散热器配件的生产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17.10.01;17.10.02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2022年08月19日 上午至2022年08月19日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02" w:tblpY="740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0"/>
        <w:gridCol w:w="85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80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15-9:45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9：45-10：45</w:t>
            </w:r>
          </w:p>
        </w:tc>
        <w:tc>
          <w:tcPr>
            <w:tcW w:w="853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管评实施情况；体系的运行现状及改进的要求；通过内审和管理评审结果确定改进需求和机会；资质情况。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45-12：00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外部提供过程、产品及产品的控制；内部审核实施及有效性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5.3/6.2/7.1.2/7.1.6/7.2-7.5 /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12：00-</w:t>
            </w:r>
            <w:r>
              <w:rPr>
                <w:rFonts w:hint="eastAsia"/>
                <w:sz w:val="21"/>
                <w:szCs w:val="21"/>
              </w:rPr>
              <w:t>12:30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-14：30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目标；产品和服务的要求；外部提供过程;</w:t>
            </w:r>
            <w:r>
              <w:rPr>
                <w:rFonts w:hint="eastAsia"/>
                <w:sz w:val="21"/>
                <w:szCs w:val="21"/>
                <w:lang w:eastAsia="zh-CN"/>
              </w:rPr>
              <w:t>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变更的控制；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顾客满意；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5.3/6.2/8.2/8.4/8.5.5/8.5.6/9.1.2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14：30-15：30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职责；目标；监视和测量资源；产品和服务的放行；不合格输出的控制；监视、测量、分析和评价总则；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;纠正措施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5.3/6.2/7.1.5/8.6/8.7/9.1.1/9.1.3/10.2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15：3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产品服务的控制；</w:t>
            </w:r>
            <w:r>
              <w:rPr>
                <w:rFonts w:hint="eastAsia"/>
                <w:sz w:val="21"/>
                <w:szCs w:val="21"/>
              </w:rPr>
              <w:t xml:space="preserve"> 生产和服务提供；标识和可追溯性管理；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顾客或外部供方的财产;</w:t>
            </w:r>
            <w:r>
              <w:rPr>
                <w:rFonts w:hint="eastAsia"/>
                <w:sz w:val="21"/>
                <w:szCs w:val="21"/>
              </w:rPr>
              <w:t>纠正措施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/8.1/8.3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1/8.5.2/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8.5.4/10.2</w:t>
            </w:r>
            <w:bookmarkStart w:id="36" w:name="_GoBack"/>
            <w:bookmarkEnd w:id="36"/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-17:15</w:t>
            </w:r>
          </w:p>
        </w:tc>
        <w:tc>
          <w:tcPr>
            <w:tcW w:w="8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17:15-17:45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22E4EF2"/>
    <w:rsid w:val="03B95DCE"/>
    <w:rsid w:val="0B6B49F7"/>
    <w:rsid w:val="0BDB2535"/>
    <w:rsid w:val="6EAD1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101</TotalTime>
  <ScaleCrop>false</ScaleCrop>
  <LinksUpToDate>false</LinksUpToDate>
  <CharactersWithSpaces>5345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2022-08-19T07:52:46Z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2052-11.1.0.12349</vt:lpwstr>
  </property>
</Properties>
</file>