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3"/>
        <w:gridCol w:w="547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保定科建交通工程有限公司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博野县小店村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博野县小店村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辛文杰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13932211318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909352638@qq.com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辛文杰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0821-2022-QEO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</w:t>
            </w:r>
            <w:bookmarkStart w:id="36" w:name="_GoBack"/>
            <w:r>
              <w:rPr>
                <w:sz w:val="20"/>
              </w:rPr>
              <w:t>道路反光涂料的生产</w:t>
            </w:r>
            <w:bookmarkEnd w:id="36"/>
          </w:p>
          <w:p>
            <w:pPr>
              <w:rPr>
                <w:sz w:val="20"/>
              </w:rPr>
            </w:pPr>
            <w:r>
              <w:rPr>
                <w:sz w:val="20"/>
              </w:rPr>
              <w:t>E：道路反光涂料的生产所涉及场所的相关环境管理活动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O：道路反光涂料的生产所涉及场所的相关职业健康安全管理活动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Q：12.03.00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E：12.03.00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O：12.03.00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2022年06月18日 上午至2022年06月19日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O:12.03.00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2022年6月17日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2022年6月17日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2022年6月17日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60"/>
        <w:gridCol w:w="1200"/>
        <w:gridCol w:w="6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6月18日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6.1.4措施的策划；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5.4员工的协商与参与；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6.1应对风险和机遇的措施；6.1.4措施的策划；6.2目标及其实现的策划；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9.3管理评审；10.1事件、不符合和纠正措施；10.3持续改进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温红玲（远程微信沟通）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12：00-17：00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5.3岗位/职责 /权限；6.2质量目标及其实现的策划；7.4沟通；8.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2产品和服务的要求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；9.1.2顾客满意；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温红玲（远程微信沟通）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7.1.3基础设施；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7.1.4过程运行环境；7.1.6组织知识；7.2能力；7.3意识；7.4沟通；7.5文件化信息；8.4外部提供供方的控制；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9.1.1监测、分析和评价总则；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EMS: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9.1.1监测、分析和评估总则；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9.1.2符合性评估；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10.2不符合和纠正措施/EMS运行控制相关财务支出证据。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9.1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监视、测量、分析和评价；9.1.2法律法规要求和其他要求的合规性评价；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事件、不符合和纠正措施/OHSMS运行控制财务支出证据。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eastAsia="宋体"/>
                <w:sz w:val="20"/>
                <w:lang w:val="en-US" w:eastAsia="zh-CN"/>
              </w:rPr>
              <w:t>（远程微信沟通）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12：00-17：00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QMS: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7.1.5监视和测量资源；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8.1运行策划和控制；8.3设计开发控制；8.5.1生产和服务提供的控制；8.5.2标识和可追溯性；8.5.3顾客或外部供方的财产；8.5.4防护；8.5.5交付后的活动；8.5.6更改控制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8.6产品和服务放行；8.7不合格输出的控制；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eastAsia="宋体"/>
                <w:sz w:val="20"/>
                <w:lang w:val="en-US" w:eastAsia="zh-CN"/>
              </w:rPr>
              <w:t>（远程微信沟通）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6月19日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72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继续昨天的审核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76067C3"/>
    <w:rsid w:val="7DAF4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2479</Words>
  <Characters>3536</Characters>
  <Lines>37</Lines>
  <Paragraphs>10</Paragraphs>
  <TotalTime>43</TotalTime>
  <ScaleCrop>false</ScaleCrop>
  <LinksUpToDate>false</LinksUpToDate>
  <CharactersWithSpaces>3602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2022-06-19T05:05:25Z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