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华润雪花啤酒（德阳）有限责任公司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E:03.10.05</w:t>
            </w:r>
          </w:p>
          <w:p>
            <w:pPr>
              <w:spacing w:line="240" w:lineRule="exact"/>
              <w:jc w:val="center"/>
              <w:rPr>
                <w:b/>
                <w:color w:val="000000" w:themeColor="text1"/>
                <w:sz w:val="20"/>
                <w:szCs w:val="20"/>
              </w:rPr>
            </w:pPr>
            <w:r>
              <w:rPr>
                <w:b/>
                <w:color w:val="000000" w:themeColor="text1"/>
                <w:sz w:val="20"/>
                <w:szCs w:val="20"/>
              </w:rPr>
              <w:t>O:03.10.05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E：GB/T 24001-2016idtISO 14001:2015,O：ISO 45001：2018</w:t>
      </w:r>
      <w:bookmarkEnd w:id="4"/>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华润雪花啤酒（德阳）有限责任公司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170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四川省什邡市蓝剑大道</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618400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四川省什邡市蓝剑大道</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618400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张伟</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0838-8285126</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候孝海</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张伟</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E：雪花啤酒的生产及其所涉及的相关环境管理活动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O：雪花啤酒的生产及其所涉及的相关职业健康安全管理活动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E：03.10.05</w:t>
            </w:r>
          </w:p>
          <w:p>
            <w:pPr>
              <w:spacing w:line="320" w:lineRule="exact"/>
              <w:rPr>
                <w:rFonts w:ascii="宋体" w:hAnsi="宋体"/>
                <w:b/>
                <w:color w:val="000000" w:themeColor="text1"/>
                <w:sz w:val="20"/>
                <w:szCs w:val="20"/>
              </w:rPr>
            </w:pPr>
            <w:r>
              <w:rPr>
                <w:rFonts w:ascii="宋体" w:hAnsi="宋体"/>
                <w:b/>
                <w:color w:val="000000" w:themeColor="text1"/>
                <w:sz w:val="20"/>
                <w:szCs w:val="20"/>
              </w:rPr>
              <w:t>O：03.10.05</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2019-04-10 15:08:41</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运营部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不合格品控制；合同管理；外部供方管理；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制造中心</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不合格品控制；纠正和预防措施控制；过程监控管理；产品验收管理；监视和测量设备管理；设备设施管理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rPr>
                <w:rFonts w:ascii="Times New Roman" w:hAnsi="Times New Roman" w:eastAsia="宋体" w:cs="Times New Roman"/>
                <w:b/>
                <w:color w:val="000000" w:themeColor="text1"/>
                <w:kern w:val="2"/>
                <w:sz w:val="20"/>
                <w:szCs w:val="20"/>
                <w:lang w:val="en-US" w:eastAsia="zh-CN" w:bidi="ar-SA"/>
              </w:rPr>
            </w:pPr>
            <w:r>
              <w:rPr>
                <w:rFonts w:hint="eastAsia"/>
                <w:sz w:val="20"/>
              </w:rPr>
              <w:t>雪花啤酒的生产</w:t>
            </w:r>
          </w:p>
        </w:tc>
        <w:tc>
          <w:tcPr>
            <w:tcW w:w="2519" w:type="dxa"/>
            <w:vAlign w:val="top"/>
          </w:tcPr>
          <w:p>
            <w:pPr>
              <w:rPr>
                <w:rFonts w:ascii="Times New Roman" w:hAnsi="Times New Roman" w:eastAsia="宋体" w:cs="Times New Roman"/>
                <w:b/>
                <w:color w:val="000000" w:themeColor="text1"/>
                <w:kern w:val="2"/>
                <w:sz w:val="20"/>
                <w:szCs w:val="20"/>
                <w:lang w:val="en-US" w:eastAsia="zh-CN" w:bidi="ar-SA"/>
              </w:rPr>
            </w:pPr>
            <w:r>
              <w:rPr>
                <w:rFonts w:hint="eastAsia"/>
                <w:sz w:val="20"/>
              </w:rPr>
              <w:t>产品</w:t>
            </w:r>
          </w:p>
        </w:tc>
        <w:tc>
          <w:tcPr>
            <w:tcW w:w="1843" w:type="dxa"/>
            <w:vAlign w:val="top"/>
          </w:tcPr>
          <w:p>
            <w:pPr>
              <w:rPr>
                <w:rFonts w:ascii="Times New Roman" w:hAnsi="Times New Roman" w:eastAsia="宋体" w:cs="Times New Roman"/>
                <w:b/>
                <w:color w:val="000000" w:themeColor="text1"/>
                <w:kern w:val="2"/>
                <w:sz w:val="20"/>
                <w:szCs w:val="20"/>
                <w:lang w:val="en-US" w:eastAsia="zh-CN" w:bidi="ar-SA"/>
              </w:rPr>
            </w:pPr>
          </w:p>
        </w:tc>
        <w:tc>
          <w:tcPr>
            <w:tcW w:w="3543" w:type="dxa"/>
            <w:vAlign w:val="top"/>
          </w:tcPr>
          <w:p>
            <w:pPr>
              <w:rPr>
                <w:rFonts w:ascii="Times New Roman" w:hAnsi="Times New Roman" w:eastAsia="宋体" w:cs="Times New Roman"/>
                <w:b/>
                <w:color w:val="000000" w:themeColor="text1"/>
                <w:kern w:val="2"/>
                <w:sz w:val="20"/>
                <w:szCs w:val="20"/>
                <w:lang w:val="en-US" w:eastAsia="zh-CN" w:bidi="ar-SA"/>
              </w:rPr>
            </w:pPr>
            <w:r>
              <w:rPr>
                <w:rFonts w:ascii="宋体" w:hAnsi="宋体"/>
                <w:szCs w:val="21"/>
              </w:rPr>
              <w:t>GB 4927-2008 啤酒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b/>
          <w:color w:val="000000" w:themeColor="text1"/>
          <w:spacing w:val="-10"/>
          <w:szCs w:val="21"/>
        </w:rPr>
        <w:t xml:space="preserve"> 体系运行时间</w:t>
      </w:r>
      <w:r>
        <w:rPr>
          <w:rFonts w:hint="eastAsia"/>
          <w:b/>
          <w:color w:val="000000" w:themeColor="text1"/>
          <w:spacing w:val="-10"/>
          <w:szCs w:val="21"/>
          <w:u w:val="single"/>
        </w:rPr>
        <w:t xml:space="preserve"> 2019</w:t>
      </w:r>
      <w:r>
        <w:rPr>
          <w:rFonts w:hint="eastAsia"/>
          <w:b/>
          <w:color w:val="000000" w:themeColor="text1"/>
          <w:spacing w:val="-10"/>
          <w:szCs w:val="21"/>
        </w:rPr>
        <w:t>年</w:t>
      </w:r>
      <w:r>
        <w:rPr>
          <w:rFonts w:hint="eastAsia"/>
          <w:b/>
          <w:color w:val="000000" w:themeColor="text1"/>
          <w:spacing w:val="-10"/>
          <w:szCs w:val="21"/>
          <w:u w:val="single"/>
          <w:lang w:val="en-US" w:eastAsia="zh-CN"/>
        </w:rPr>
        <w:t>5</w:t>
      </w:r>
      <w:r>
        <w:rPr>
          <w:rFonts w:hint="eastAsia"/>
          <w:b/>
          <w:color w:val="000000" w:themeColor="text1"/>
          <w:spacing w:val="-10"/>
          <w:szCs w:val="21"/>
        </w:rPr>
        <w:t>月</w:t>
      </w:r>
      <w:bookmarkStart w:id="20" w:name="OLE_LINK1"/>
      <w:r>
        <w:rPr>
          <w:rFonts w:hint="eastAsia"/>
          <w:b/>
          <w:color w:val="000000" w:themeColor="text1"/>
          <w:spacing w:val="-10"/>
          <w:szCs w:val="21"/>
          <w:u w:val="single"/>
          <w:lang w:val="en-US" w:eastAsia="zh-CN"/>
        </w:rPr>
        <w:t>15</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1</w:t>
      </w:r>
      <w:r>
        <w:rPr>
          <w:rFonts w:hint="eastAsia"/>
          <w:b/>
          <w:color w:val="000000" w:themeColor="text1"/>
          <w:spacing w:val="-10"/>
          <w:szCs w:val="21"/>
          <w:u w:val="single"/>
          <w:lang w:val="en-US" w:eastAsia="zh-CN"/>
        </w:rPr>
        <w:t>2</w:t>
      </w:r>
      <w:r>
        <w:rPr>
          <w:rFonts w:hint="eastAsia"/>
          <w:b/>
          <w:color w:val="000000" w:themeColor="text1"/>
          <w:spacing w:val="-10"/>
          <w:szCs w:val="21"/>
        </w:rPr>
        <w:t>月</w:t>
      </w:r>
      <w:r>
        <w:rPr>
          <w:rFonts w:hint="eastAsia"/>
          <w:b/>
          <w:color w:val="000000" w:themeColor="text1"/>
          <w:spacing w:val="-10"/>
          <w:szCs w:val="21"/>
          <w:u w:val="single"/>
          <w:lang w:val="en-US" w:eastAsia="zh-CN"/>
        </w:rPr>
        <w:t>26</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72" w:firstLineChars="225"/>
              <w:rPr>
                <w:b/>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s="宋体"/>
                <w:b/>
                <w:szCs w:val="21"/>
              </w:rPr>
              <w:t>“</w:t>
            </w:r>
            <w:r>
              <w:rPr>
                <w:rFonts w:hint="eastAsia" w:ascii="宋体" w:hAnsi="宋体" w:cs="宋体"/>
                <w:szCs w:val="21"/>
              </w:rPr>
              <w:t>以人为本   关爱生命  保护环境  珍惜资源  和谐发展</w:t>
            </w:r>
            <w:r>
              <w:rPr>
                <w:rFonts w:hint="eastAsia" w:ascii="宋体" w:hAnsi="宋体" w:cs="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highlight w:val="green"/>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0" o:spid="_x0000_s2050" o:spt="32" type="#_x0000_t32" style="position:absolute;left:0pt;margin-left:157.9pt;margin-top:12.75pt;height:0pt;width:261.75pt;z-index:25166643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6540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，不适用理由：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废水控制、噪声控制、粉尘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组织建立了危险源识别、评价控制程序，识别评价了危险源、风险相关的过程，评价出了重要危险源，与之相关的过程有啤酒生产、检测，针对重要危险源制定了管理方案。控制措施实施有效。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9. 目标、方案</w:t>
            </w:r>
          </w:p>
          <w:p>
            <w:pPr>
              <w:spacing w:line="300" w:lineRule="exact"/>
            </w:pPr>
            <w:r>
              <w:rPr>
                <w:rFonts w:hint="eastAsia"/>
              </w:rPr>
              <w:t>（在相关层次上建立可测量的目标，目标、方案的有效性，对质量目标的实现情况进行评价并叙述测量方法）</w:t>
            </w:r>
          </w:p>
          <w:p>
            <w:pPr>
              <w:spacing w:line="300" w:lineRule="exact"/>
              <w:ind w:firstLine="420" w:firstLineChars="200"/>
            </w:pPr>
            <w:r>
              <w:rPr>
                <w:rFonts w:hint="eastAsia"/>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pPr>
              <w:ind w:firstLine="525" w:firstLineChars="250"/>
              <w:rPr>
                <w:rFonts w:hint="default" w:eastAsia="宋体"/>
                <w:highlight w:val="none"/>
                <w:lang w:val="en-US" w:eastAsia="zh-CN"/>
              </w:rPr>
            </w:pPr>
            <w:r>
              <w:rPr>
                <w:rFonts w:hint="eastAsia"/>
                <w:highlight w:val="none"/>
              </w:rPr>
              <w:t>环境、职业健康安全目标：</w:t>
            </w:r>
            <w:r>
              <w:rPr>
                <w:rFonts w:hint="eastAsia"/>
                <w:highlight w:val="none"/>
                <w:lang w:eastAsia="zh-CN"/>
              </w:rPr>
              <w:t>（考核时间</w:t>
            </w:r>
            <w:r>
              <w:rPr>
                <w:rFonts w:hint="eastAsia"/>
                <w:highlight w:val="none"/>
                <w:lang w:val="en-US" w:eastAsia="zh-CN"/>
              </w:rPr>
              <w:t>2019年6月-11月）</w:t>
            </w:r>
          </w:p>
          <w:p>
            <w:pPr>
              <w:snapToGrid w:val="0"/>
              <w:rPr>
                <w:rFonts w:hint="default" w:ascii="宋体" w:hAnsi="宋体" w:eastAsia="宋体" w:cs="宋体"/>
                <w:b w:val="0"/>
                <w:bCs w:val="0"/>
                <w:kern w:val="0"/>
                <w:szCs w:val="21"/>
                <w:highlight w:val="none"/>
                <w:lang w:val="en-US" w:eastAsia="zh-CN"/>
              </w:rPr>
            </w:pPr>
            <w:r>
              <w:rPr>
                <w:rFonts w:hint="eastAsia" w:ascii="宋体" w:hAnsi="宋体" w:cs="宋体"/>
                <w:b w:val="0"/>
                <w:bCs w:val="0"/>
                <w:kern w:val="0"/>
                <w:szCs w:val="21"/>
                <w:highlight w:val="none"/>
              </w:rPr>
              <w:t>1、</w:t>
            </w:r>
            <w:r>
              <w:rPr>
                <w:rFonts w:hint="eastAsia"/>
                <w:b w:val="0"/>
                <w:bCs w:val="0"/>
                <w:szCs w:val="21"/>
                <w:highlight w:val="none"/>
                <w:lang w:val="en-US" w:eastAsia="zh-CN"/>
              </w:rPr>
              <w:t>粉尘排放达标</w:t>
            </w:r>
            <w:r>
              <w:rPr>
                <w:rFonts w:hint="eastAsia" w:ascii="宋体" w:hAnsi="宋体" w:cs="宋体"/>
                <w:b w:val="0"/>
                <w:bCs w:val="0"/>
                <w:kern w:val="0"/>
                <w:szCs w:val="21"/>
                <w:highlight w:val="none"/>
              </w:rPr>
              <w:t>；</w:t>
            </w:r>
            <w:r>
              <w:rPr>
                <w:rFonts w:hint="eastAsia" w:ascii="宋体" w:hAnsi="宋体" w:cs="宋体"/>
                <w:b w:val="0"/>
                <w:bCs w:val="0"/>
                <w:kern w:val="0"/>
                <w:szCs w:val="21"/>
                <w:highlight w:val="none"/>
                <w:lang w:val="en-US" w:eastAsia="zh-CN"/>
              </w:rPr>
              <w:t xml:space="preserve">                             符合标准</w:t>
            </w:r>
          </w:p>
          <w:p>
            <w:pPr>
              <w:snapToGrid w:val="0"/>
              <w:rPr>
                <w:rFonts w:hint="default" w:ascii="宋体" w:hAnsi="宋体" w:cs="宋体"/>
                <w:b w:val="0"/>
                <w:bCs w:val="0"/>
                <w:kern w:val="0"/>
                <w:szCs w:val="21"/>
                <w:highlight w:val="none"/>
                <w:lang w:val="en-US"/>
              </w:rPr>
            </w:pPr>
            <w:r>
              <w:rPr>
                <w:rFonts w:hint="eastAsia" w:ascii="宋体" w:hAnsi="宋体" w:cs="宋体"/>
                <w:b w:val="0"/>
                <w:bCs w:val="0"/>
                <w:kern w:val="0"/>
                <w:szCs w:val="21"/>
                <w:highlight w:val="none"/>
              </w:rPr>
              <w:t>2、</w:t>
            </w:r>
            <w:r>
              <w:rPr>
                <w:rFonts w:hint="eastAsia"/>
                <w:b w:val="0"/>
                <w:bCs w:val="0"/>
                <w:szCs w:val="21"/>
                <w:highlight w:val="none"/>
                <w:lang w:eastAsia="zh-CN"/>
              </w:rPr>
              <w:t>废水排放达标</w:t>
            </w:r>
            <w:r>
              <w:rPr>
                <w:rFonts w:hint="eastAsia"/>
                <w:b w:val="0"/>
                <w:bCs w:val="0"/>
                <w:szCs w:val="21"/>
                <w:highlight w:val="none"/>
                <w:lang w:val="en-US" w:eastAsia="zh-CN"/>
              </w:rPr>
              <w:t>；                             符合标准</w:t>
            </w:r>
          </w:p>
          <w:p>
            <w:pPr>
              <w:snapToGrid w:val="0"/>
              <w:rPr>
                <w:rFonts w:hint="default"/>
                <w:b w:val="0"/>
                <w:bCs w:val="0"/>
                <w:szCs w:val="21"/>
                <w:highlight w:val="none"/>
                <w:lang w:val="en-US" w:eastAsia="zh-CN"/>
              </w:rPr>
            </w:pPr>
            <w:r>
              <w:rPr>
                <w:rFonts w:hint="eastAsia" w:ascii="宋体" w:hAnsi="宋体" w:cs="宋体"/>
                <w:b w:val="0"/>
                <w:bCs w:val="0"/>
                <w:kern w:val="0"/>
                <w:szCs w:val="21"/>
                <w:highlight w:val="none"/>
              </w:rPr>
              <w:t>3、</w:t>
            </w:r>
            <w:r>
              <w:rPr>
                <w:rFonts w:hint="eastAsia"/>
                <w:b w:val="0"/>
                <w:bCs w:val="0"/>
                <w:szCs w:val="21"/>
                <w:highlight w:val="none"/>
                <w:lang w:val="en-US" w:eastAsia="zh-CN"/>
              </w:rPr>
              <w:t xml:space="preserve">噪声排放达标；                             符合标准                            </w:t>
            </w:r>
          </w:p>
          <w:p>
            <w:pPr>
              <w:snapToGrid w:val="0"/>
              <w:rPr>
                <w:rFonts w:hint="default"/>
                <w:b w:val="0"/>
                <w:bCs w:val="0"/>
                <w:szCs w:val="21"/>
                <w:highlight w:val="none"/>
                <w:lang w:val="en-US" w:eastAsia="zh-CN"/>
              </w:rPr>
            </w:pPr>
            <w:r>
              <w:rPr>
                <w:rFonts w:hint="eastAsia"/>
                <w:b w:val="0"/>
                <w:bCs w:val="0"/>
                <w:szCs w:val="21"/>
                <w:highlight w:val="none"/>
                <w:lang w:val="en-US" w:eastAsia="zh-CN"/>
              </w:rPr>
              <w:t>4、</w:t>
            </w:r>
            <w:r>
              <w:rPr>
                <w:rFonts w:hint="eastAsia"/>
                <w:b w:val="0"/>
                <w:bCs w:val="0"/>
                <w:szCs w:val="21"/>
                <w:highlight w:val="none"/>
              </w:rPr>
              <w:t>固体废弃物合理处置</w:t>
            </w:r>
            <w:r>
              <w:rPr>
                <w:rFonts w:hint="eastAsia"/>
                <w:b w:val="0"/>
                <w:bCs w:val="0"/>
                <w:szCs w:val="21"/>
                <w:highlight w:val="none"/>
                <w:lang w:val="en-US" w:eastAsia="zh-CN"/>
              </w:rPr>
              <w:t>；                        100%</w:t>
            </w:r>
          </w:p>
          <w:p>
            <w:pPr>
              <w:snapToGrid w:val="0"/>
              <w:rPr>
                <w:rFonts w:hint="default"/>
                <w:b w:val="0"/>
                <w:bCs w:val="0"/>
                <w:szCs w:val="21"/>
                <w:highlight w:val="none"/>
                <w:lang w:val="en-US" w:eastAsia="zh-CN"/>
              </w:rPr>
            </w:pPr>
            <w:r>
              <w:rPr>
                <w:rFonts w:hint="eastAsia"/>
                <w:b w:val="0"/>
                <w:bCs w:val="0"/>
                <w:szCs w:val="21"/>
                <w:highlight w:val="none"/>
                <w:lang w:val="en-US" w:eastAsia="zh-CN"/>
              </w:rPr>
              <w:t>5、</w:t>
            </w:r>
            <w:r>
              <w:rPr>
                <w:rFonts w:hint="eastAsia"/>
                <w:b w:val="0"/>
                <w:bCs w:val="0"/>
                <w:szCs w:val="21"/>
                <w:highlight w:val="none"/>
              </w:rPr>
              <w:t>死亡、重伤事故为0</w:t>
            </w:r>
            <w:r>
              <w:rPr>
                <w:rFonts w:hint="eastAsia"/>
                <w:b w:val="0"/>
                <w:bCs w:val="0"/>
                <w:szCs w:val="21"/>
                <w:highlight w:val="none"/>
                <w:lang w:val="en-US" w:eastAsia="zh-CN"/>
              </w:rPr>
              <w:t>；                     未发生死亡、重伤事故</w:t>
            </w:r>
          </w:p>
          <w:p>
            <w:pPr>
              <w:snapToGrid w:val="0"/>
              <w:rPr>
                <w:rFonts w:hint="default"/>
                <w:b w:val="0"/>
                <w:bCs w:val="0"/>
                <w:szCs w:val="21"/>
                <w:highlight w:val="none"/>
                <w:lang w:val="en-US" w:eastAsia="zh-CN"/>
              </w:rPr>
            </w:pPr>
            <w:r>
              <w:rPr>
                <w:rFonts w:hint="eastAsia"/>
                <w:b w:val="0"/>
                <w:bCs w:val="0"/>
                <w:szCs w:val="21"/>
                <w:highlight w:val="none"/>
                <w:lang w:val="en-US" w:eastAsia="zh-CN"/>
              </w:rPr>
              <w:t>6、员工无职业病发生；                        无职业病例发生</w:t>
            </w:r>
          </w:p>
          <w:p>
            <w:pPr>
              <w:snapToGrid w:val="0"/>
              <w:rPr>
                <w:rFonts w:hint="default" w:eastAsia="宋体"/>
                <w:b w:val="0"/>
                <w:bCs w:val="0"/>
                <w:szCs w:val="21"/>
                <w:highlight w:val="none"/>
                <w:lang w:val="en-US" w:eastAsia="zh-CN"/>
              </w:rPr>
            </w:pPr>
            <w:r>
              <w:rPr>
                <w:rFonts w:hint="eastAsia"/>
                <w:b w:val="0"/>
                <w:bCs w:val="0"/>
                <w:szCs w:val="21"/>
                <w:highlight w:val="none"/>
                <w:lang w:val="en-US" w:eastAsia="zh-CN"/>
              </w:rPr>
              <w:t>7、</w:t>
            </w:r>
            <w:r>
              <w:rPr>
                <w:rFonts w:hint="eastAsia"/>
                <w:b w:val="0"/>
                <w:bCs w:val="0"/>
                <w:szCs w:val="21"/>
                <w:highlight w:val="none"/>
              </w:rPr>
              <w:t>全年无火灾事故</w:t>
            </w:r>
            <w:r>
              <w:rPr>
                <w:rFonts w:hint="eastAsia"/>
                <w:b w:val="0"/>
                <w:bCs w:val="0"/>
                <w:szCs w:val="21"/>
                <w:highlight w:val="none"/>
                <w:lang w:eastAsia="zh-CN"/>
              </w:rPr>
              <w:t>；</w:t>
            </w:r>
            <w:r>
              <w:rPr>
                <w:rFonts w:hint="eastAsia"/>
                <w:b w:val="0"/>
                <w:bCs w:val="0"/>
                <w:szCs w:val="21"/>
                <w:highlight w:val="none"/>
                <w:lang w:val="en-US" w:eastAsia="zh-CN"/>
              </w:rPr>
              <w:t xml:space="preserve">                         暂无火灾事故发生。</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2019</w:t>
            </w:r>
            <w:r>
              <w:rPr>
                <w:rFonts w:hint="eastAsia" w:ascii="宋体" w:hAnsi="宋体" w:cs="宋体"/>
                <w:color w:val="000000" w:themeColor="text1"/>
              </w:rPr>
              <w:t>年</w:t>
            </w:r>
            <w:r>
              <w:rPr>
                <w:rFonts w:hint="eastAsia" w:ascii="宋体" w:hAnsi="宋体" w:cs="宋体"/>
                <w:color w:val="000000" w:themeColor="text1"/>
                <w:lang w:val="en-US" w:eastAsia="zh-CN"/>
              </w:rPr>
              <w:t>5</w:t>
            </w:r>
            <w:r>
              <w:rPr>
                <w:rFonts w:hint="eastAsia" w:ascii="宋体" w:hAnsi="宋体" w:cs="宋体"/>
                <w:color w:val="000000" w:themeColor="text1"/>
              </w:rPr>
              <w:t>月</w:t>
            </w:r>
            <w:r>
              <w:rPr>
                <w:rFonts w:hint="eastAsia" w:ascii="宋体" w:hAnsi="宋体" w:cs="宋体"/>
                <w:color w:val="000000" w:themeColor="text1"/>
                <w:lang w:val="en-US" w:eastAsia="zh-CN"/>
              </w:rPr>
              <w:t>15</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szCs w:val="21"/>
              </w:rPr>
              <w:t>啤酒生产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40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r>
              <w:rPr>
                <w:rFonts w:hint="eastAsia" w:ascii="宋体" w:hAnsi="宋体"/>
                <w:b/>
                <w:color w:val="000000" w:themeColor="text1"/>
                <w:sz w:val="20"/>
                <w:szCs w:val="20"/>
                <w:highlight w:val="none"/>
              </w:rPr>
              <w:t>、</w:t>
            </w:r>
            <w:r>
              <w:rPr>
                <w:rFonts w:hint="eastAsia" w:ascii="宋体" w:hAnsi="宋体"/>
                <w:szCs w:val="21"/>
                <w:highlight w:val="none"/>
              </w:rPr>
              <w:t>办公场所面积</w:t>
            </w:r>
            <w:r>
              <w:rPr>
                <w:rFonts w:hint="eastAsia" w:ascii="宋体" w:hAnsi="宋体"/>
                <w:szCs w:val="21"/>
                <w:highlight w:val="none"/>
                <w:lang w:val="en-US" w:eastAsia="zh-CN"/>
              </w:rPr>
              <w:t>2000</w:t>
            </w:r>
            <w:r>
              <w:rPr>
                <w:rFonts w:hint="eastAsia" w:ascii="宋体" w:hAnsi="宋体"/>
                <w:szCs w:val="21"/>
                <w:highlight w:val="none"/>
              </w:rPr>
              <w:t>平方左右</w:t>
            </w:r>
            <w:r>
              <w:rPr>
                <w:rFonts w:hint="eastAsia" w:ascii="宋体" w:hAnsi="宋体"/>
                <w:szCs w:val="21"/>
                <w:highlight w:val="none"/>
                <w:lang w:eastAsia="zh-CN"/>
              </w:rPr>
              <w:t>，生产车间面积</w:t>
            </w:r>
            <w:r>
              <w:rPr>
                <w:rFonts w:hint="eastAsia" w:ascii="宋体" w:hAnsi="宋体"/>
                <w:szCs w:val="21"/>
                <w:highlight w:val="none"/>
                <w:lang w:val="en-US" w:eastAsia="zh-CN"/>
              </w:rPr>
              <w:t>40000</w:t>
            </w:r>
            <w:r>
              <w:rPr>
                <w:rFonts w:hint="eastAsia" w:ascii="宋体" w:hAnsi="宋体"/>
                <w:szCs w:val="21"/>
                <w:highlight w:val="none"/>
              </w:rPr>
              <w:t>平方左右。</w:t>
            </w:r>
            <w:r>
              <w:rPr>
                <w:rFonts w:hint="eastAsia" w:ascii="宋体" w:hAnsi="宋体" w:cs="宋体"/>
                <w:szCs w:val="21"/>
                <w:highlight w:val="none"/>
              </w:rPr>
              <w:t>主要生产设备为</w:t>
            </w:r>
            <w:r>
              <w:rPr>
                <w:rFonts w:hint="eastAsia" w:ascii="宋体" w:hAnsi="宋体" w:cs="宋体"/>
                <w:color w:val="000000"/>
                <w:kern w:val="0"/>
                <w:szCs w:val="21"/>
                <w:highlight w:val="none"/>
              </w:rPr>
              <w:t>麦芽增湿粉碎机、大米粉碎机、淀粉调浆系统、糖化设备</w:t>
            </w:r>
            <w:r>
              <w:rPr>
                <w:rFonts w:hint="eastAsia"/>
                <w:highlight w:val="none"/>
              </w:rPr>
              <w:t>、</w:t>
            </w:r>
            <w:r>
              <w:rPr>
                <w:rFonts w:hint="eastAsia" w:ascii="宋体" w:hAnsi="宋体" w:cs="宋体"/>
                <w:color w:val="000000"/>
                <w:kern w:val="0"/>
                <w:szCs w:val="21"/>
                <w:highlight w:val="none"/>
              </w:rPr>
              <w:t>过滤机 、发酵罐</w:t>
            </w:r>
            <w:r>
              <w:rPr>
                <w:rFonts w:hint="eastAsia"/>
                <w:highlight w:val="none"/>
              </w:rPr>
              <w:t>、</w:t>
            </w:r>
            <w:r>
              <w:rPr>
                <w:rFonts w:hint="eastAsia" w:ascii="宋体" w:hAnsi="宋体" w:cs="宋体"/>
                <w:color w:val="000000"/>
                <w:kern w:val="0"/>
                <w:szCs w:val="21"/>
                <w:highlight w:val="none"/>
              </w:rPr>
              <w:t>制冷机组、空气压缩机、叉车等设备。</w:t>
            </w:r>
            <w:r>
              <w:rPr>
                <w:rFonts w:hint="eastAsia" w:ascii="宋体" w:hAnsi="宋体"/>
                <w:szCs w:val="21"/>
                <w:highlight w:val="none"/>
              </w:rPr>
              <w:t>可以满足</w:t>
            </w:r>
            <w:r>
              <w:rPr>
                <w:rFonts w:hint="eastAsia"/>
                <w:szCs w:val="21"/>
                <w:highlight w:val="none"/>
              </w:rPr>
              <w:t>啤酒生产</w:t>
            </w:r>
            <w:r>
              <w:rPr>
                <w:rFonts w:hint="eastAsia" w:ascii="宋体" w:hAnsi="宋体"/>
                <w:szCs w:val="21"/>
                <w:highlight w:val="none"/>
              </w:rPr>
              <w:t>的需要</w:t>
            </w:r>
            <w:r>
              <w:rPr>
                <w:rFonts w:hint="eastAsia" w:ascii="宋体" w:hAnsi="宋体" w:cs="宋体"/>
                <w:szCs w:val="21"/>
                <w:highlight w:val="none"/>
              </w:rPr>
              <w:t>。对设备按月方式进行点检维护保养，并实施。特种设备：叉车、压力容器。公司建立有信息管理系统用于生产和服务。</w:t>
            </w:r>
          </w:p>
          <w:p>
            <w:pPr>
              <w:spacing w:line="240" w:lineRule="exact"/>
              <w:rPr>
                <w:rFonts w:ascii="宋体" w:hAnsi="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210" w:firstLineChars="100"/>
              <w:rPr>
                <w:rFonts w:ascii="宋体" w:hAnsi="宋体"/>
                <w:b/>
                <w:color w:val="000000" w:themeColor="text1"/>
                <w:sz w:val="20"/>
                <w:szCs w:val="20"/>
              </w:rPr>
            </w:pPr>
            <w:r>
              <w:rPr>
                <w:rFonts w:hint="eastAsia" w:ascii="宋体" w:hAnsi="宋体" w:cs="宋体"/>
                <w:szCs w:val="21"/>
              </w:rPr>
              <w:t>办公、服务场所和内设备布置合理，通道畅通，照明设施齐全，均配备了消防设施等设施。办公室明亮，培训场所光线较充足。每月由行政部对工作环境进行定期检查。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ind w:firstLine="210" w:firstLineChars="100"/>
              <w:rPr>
                <w:rFonts w:ascii="宋体" w:hAnsi="宋体"/>
                <w:b/>
                <w:sz w:val="20"/>
                <w:szCs w:val="20"/>
              </w:rPr>
            </w:pPr>
            <w:r>
              <w:rPr>
                <w:rFonts w:hint="eastAsia" w:ascii="宋体" w:hAnsi="宋体" w:cs="宋体"/>
                <w:szCs w:val="21"/>
                <w:highlight w:val="none"/>
              </w:rPr>
              <w:t>废水排放在线检测仪等测试设备</w:t>
            </w:r>
            <w:r>
              <w:rPr>
                <w:rFonts w:hint="eastAsia" w:ascii="宋体" w:hAnsi="宋体" w:cs="宋体"/>
                <w:highlight w:val="none"/>
              </w:rPr>
              <w:t>，检测设备受控。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sz w:val="20"/>
                <w:szCs w:val="20"/>
              </w:rPr>
            </w:pPr>
            <w:r>
              <w:rPr>
                <w:rFonts w:hint="eastAsia"/>
                <w:szCs w:val="21"/>
              </w:rPr>
              <w:t>脉冲布袋除尘器、二氧化碳回收装置、水处理装置、消防栓、灭火器等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sz w:val="20"/>
                <w:szCs w:val="20"/>
              </w:rPr>
            </w:pPr>
            <w:r>
              <w:rPr>
                <w:rFonts w:hint="eastAsia" w:ascii="宋体" w:hAnsi="宋体"/>
                <w:szCs w:val="21"/>
              </w:rPr>
              <w:t>氨气泄漏报警器、天然气泄漏报警器等。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pStyle w:val="11"/>
              <w:tabs>
                <w:tab w:val="center" w:pos="3169"/>
              </w:tabs>
              <w:spacing w:line="400" w:lineRule="exact"/>
              <w:ind w:firstLine="0" w:firstLineChars="0"/>
              <w:jc w:val="left"/>
              <w:rPr>
                <w:rFonts w:asciiTheme="minorEastAsia" w:hAnsiTheme="minorEastAsia" w:eastAsiaTheme="minorEastAsia"/>
                <w:bCs/>
                <w:iCs/>
              </w:rPr>
            </w:pPr>
            <w:r>
              <w:rPr>
                <w:rFonts w:hint="eastAsia" w:asciiTheme="minorEastAsia" w:hAnsiTheme="minorEastAsia" w:eastAsiaTheme="minorEastAsia"/>
                <w:bCs/>
                <w:iCs/>
              </w:rPr>
              <w:t>组织重要环境因素</w:t>
            </w:r>
            <w:r>
              <w:rPr>
                <w:rFonts w:hint="eastAsia" w:asciiTheme="minorEastAsia" w:hAnsiTheme="minorEastAsia" w:eastAsiaTheme="minorEastAsia"/>
                <w:bCs/>
                <w:iCs/>
                <w:highlight w:val="none"/>
              </w:rPr>
              <w:t>为</w:t>
            </w:r>
            <w:r>
              <w:rPr>
                <w:rFonts w:hint="eastAsia" w:ascii="宋体" w:hAnsi="宋体" w:cs="宋体"/>
                <w:szCs w:val="21"/>
                <w:highlight w:val="none"/>
              </w:rPr>
              <w:t>1）潜在火灾；2）噪声的排</w:t>
            </w:r>
            <w:r>
              <w:rPr>
                <w:rFonts w:hint="eastAsia" w:ascii="宋体" w:hAnsi="宋体" w:cs="宋体"/>
                <w:szCs w:val="21"/>
              </w:rPr>
              <w:t>放；3）废水的排放；4）固废的排放；5）粉尘的排放；6）能源消耗（水、电、蒸汽）；7）氨气泄漏。</w:t>
            </w:r>
            <w:r>
              <w:rPr>
                <w:rFonts w:hint="eastAsia" w:asciiTheme="minorEastAsia" w:hAnsiTheme="minorEastAsia" w:eastAsiaTheme="minorEastAsia"/>
                <w:bCs/>
                <w:iCs/>
              </w:rPr>
              <w:t>需要应对的风险和机遇相关的过程为施工、测试过程，建立了控制过程的识别、策划控制程序，控制措施实施有效性（包括组织自身的污染预防控制及对相关方的控制）；组织在运行策划时，基于产品生命周期的思维，识别了整个过程的环境影响。具体控制措施，包括：固废的控制、噪声控制、潜在火灾</w:t>
            </w:r>
            <w:r>
              <w:rPr>
                <w:rFonts w:hint="eastAsia" w:asciiTheme="minorEastAsia" w:hAnsiTheme="minorEastAsia" w:eastAsiaTheme="minorEastAsia"/>
                <w:bCs/>
                <w:iCs/>
                <w:lang w:eastAsia="zh-CN"/>
              </w:rPr>
              <w:t>、</w:t>
            </w:r>
            <w:r>
              <w:rPr>
                <w:rFonts w:hint="eastAsia" w:ascii="宋体" w:hAnsi="宋体" w:cs="宋体"/>
                <w:szCs w:val="21"/>
              </w:rPr>
              <w:t>氨气泄漏</w:t>
            </w:r>
            <w:r>
              <w:rPr>
                <w:rFonts w:hint="eastAsia" w:asciiTheme="minorEastAsia" w:hAnsiTheme="minorEastAsia" w:eastAsiaTheme="minorEastAsia"/>
                <w:bCs/>
                <w:iCs/>
              </w:rPr>
              <w:t>的应急预案等。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w:t>
            </w:r>
            <w:r>
              <w:rPr>
                <w:rFonts w:hint="eastAsia"/>
                <w:szCs w:val="21"/>
              </w:rPr>
              <w:t>1）火灾；2）爆炸（氨气、天然气、压力容器等）；3）触电；4）意外伤害（高坠、烫伤、冻伤、酸碱腐蚀、爆瓶等伤害）；5）中毒；6）噪声；7）职业病（噪声、粉</w:t>
            </w:r>
            <w:r>
              <w:rPr>
                <w:rFonts w:hint="eastAsia"/>
                <w:szCs w:val="21"/>
                <w:highlight w:val="none"/>
              </w:rPr>
              <w:t>尘等</w:t>
            </w:r>
            <w:r>
              <w:rPr>
                <w:rFonts w:hint="eastAsia"/>
                <w:szCs w:val="21"/>
                <w:highlight w:val="none"/>
                <w:lang w:eastAsia="zh-CN"/>
              </w:rPr>
              <w:t>）</w:t>
            </w:r>
            <w:r>
              <w:rPr>
                <w:rFonts w:hint="eastAsia" w:ascii="宋体" w:hAnsi="宋体" w:cs="宋体"/>
                <w:szCs w:val="21"/>
                <w:highlight w:val="none"/>
              </w:rPr>
              <w:t>等</w:t>
            </w:r>
            <w:r>
              <w:rPr>
                <w:rFonts w:hint="eastAsia" w:asciiTheme="minorEastAsia" w:hAnsiTheme="minorEastAsia" w:eastAsiaTheme="minorEastAsia"/>
                <w:bCs/>
                <w:iCs/>
                <w:highlight w:val="none"/>
              </w:rPr>
              <w:t>重要危险源，与之相关的过程有施工、安装、测试过程，针对不可接受风险制定了管理方案。控制措施实施有效。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10. 对特种设备的维护; （适用时）</w:t>
            </w:r>
          </w:p>
          <w:p>
            <w:pPr>
              <w:spacing w:line="240" w:lineRule="exact"/>
              <w:rPr>
                <w:rFonts w:hint="eastAsia" w:eastAsia="宋体"/>
                <w:b/>
                <w:sz w:val="20"/>
                <w:szCs w:val="20"/>
                <w:lang w:eastAsia="zh-CN"/>
              </w:rPr>
            </w:pPr>
            <w:r>
              <w:rPr>
                <w:rFonts w:hint="eastAsia"/>
                <w:b/>
                <w:sz w:val="20"/>
                <w:szCs w:val="20"/>
                <w:lang w:eastAsia="zh-CN"/>
              </w:rPr>
              <w:t>对叉车，压力容器进行了年检。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11 .对危险化学品销售、使用、储存、运输处置，规定的执行力度(必要时); （适用时）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highlight w:val="none"/>
              </w:rPr>
            </w:pPr>
            <w:r>
              <w:rPr>
                <w:rFonts w:hint="eastAsia"/>
                <w:b/>
                <w:color w:val="000000" w:themeColor="text1"/>
                <w:szCs w:val="21"/>
                <w:highlight w:val="none"/>
              </w:rPr>
              <w:t>(四)监视测量方面</w:t>
            </w:r>
          </w:p>
        </w:tc>
        <w:tc>
          <w:tcPr>
            <w:tcW w:w="9198" w:type="dxa"/>
          </w:tcPr>
          <w:p>
            <w:pPr>
              <w:spacing w:line="240" w:lineRule="exact"/>
              <w:ind w:left="100" w:hanging="100" w:hangingChars="50"/>
              <w:rPr>
                <w:b/>
                <w:color w:val="000000" w:themeColor="text1"/>
                <w:sz w:val="20"/>
                <w:szCs w:val="20"/>
                <w:highlight w:val="none"/>
              </w:rPr>
            </w:pPr>
            <w:r>
              <w:rPr>
                <w:rFonts w:hint="eastAsia"/>
                <w:b/>
                <w:color w:val="000000" w:themeColor="text1"/>
                <w:sz w:val="20"/>
                <w:szCs w:val="20"/>
                <w:highlight w:val="none"/>
              </w:rPr>
              <w:t>1. .对质量/环境/职业健康安全目标指标进行定期监测/检查情况</w:t>
            </w:r>
            <w:r>
              <w:rPr>
                <w:rFonts w:hint="eastAsia"/>
                <w:b/>
                <w:sz w:val="20"/>
                <w:szCs w:val="20"/>
                <w:highlight w:val="none"/>
              </w:rPr>
              <w:t>（适用时）</w:t>
            </w:r>
          </w:p>
          <w:p>
            <w:pPr>
              <w:spacing w:line="240" w:lineRule="exact"/>
              <w:ind w:firstLine="105" w:firstLineChars="50"/>
              <w:rPr>
                <w:b/>
                <w:color w:val="000000" w:themeColor="text1"/>
                <w:sz w:val="20"/>
                <w:szCs w:val="20"/>
                <w:highlight w:val="none"/>
              </w:rPr>
            </w:pPr>
            <w:r>
              <w:rPr>
                <w:rFonts w:hint="eastAsia" w:ascii="宋体" w:hAnsi="宋体" w:cs="宋体"/>
                <w:color w:val="000000"/>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w:t>
            </w:r>
            <w:r>
              <w:rPr>
                <w:rFonts w:hint="eastAsia" w:ascii="宋体" w:hAnsi="宋体" w:cs="宋体"/>
                <w:szCs w:val="21"/>
                <w:highlight w:val="none"/>
              </w:rPr>
              <w:t>过2019年</w:t>
            </w:r>
            <w:r>
              <w:rPr>
                <w:rFonts w:hint="eastAsia" w:ascii="宋体" w:hAnsi="宋体" w:cs="宋体"/>
                <w:szCs w:val="21"/>
                <w:highlight w:val="none"/>
                <w:lang w:val="en-US" w:eastAsia="zh-CN"/>
              </w:rPr>
              <w:t>6</w:t>
            </w:r>
            <w:r>
              <w:rPr>
                <w:rFonts w:hint="eastAsia" w:ascii="宋体" w:hAnsi="宋体" w:cs="宋体"/>
                <w:szCs w:val="21"/>
                <w:highlight w:val="none"/>
              </w:rPr>
              <w:t>-</w:t>
            </w:r>
            <w:r>
              <w:rPr>
                <w:rFonts w:hint="eastAsia" w:ascii="宋体" w:hAnsi="宋体" w:cs="宋体"/>
                <w:szCs w:val="21"/>
                <w:highlight w:val="none"/>
                <w:lang w:val="en-US" w:eastAsia="zh-CN"/>
              </w:rPr>
              <w:t>11</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建立有《内部审核控制程序》，规定了内审频次一年一次，内审时间：2019年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6</w:t>
            </w:r>
            <w:r>
              <w:rPr>
                <w:rFonts w:hint="eastAsia" w:ascii="宋体" w:hAnsi="宋体"/>
                <w:szCs w:val="21"/>
              </w:rPr>
              <w:t>日，拟定了审核实施表，明确了内审范围，内审人员经培训合格上岗，能力满足要求，未出现审核本部门情况，内审不符合项1项，</w:t>
            </w:r>
            <w:r>
              <w:rPr>
                <w:rFonts w:hint="eastAsia" w:ascii="宋体" w:hAnsi="宋体" w:cs="宋体"/>
                <w:szCs w:val="21"/>
              </w:rPr>
              <w:t>涉及运营部E8.1/S</w:t>
            </w:r>
            <w:r>
              <w:rPr>
                <w:rFonts w:hint="eastAsia" w:ascii="宋体" w:hAnsi="宋体" w:cs="宋体"/>
                <w:szCs w:val="21"/>
                <w:lang w:val="en-US" w:eastAsia="zh-CN"/>
              </w:rPr>
              <w:t>8.1</w:t>
            </w:r>
            <w:r>
              <w:rPr>
                <w:rFonts w:hint="eastAsia" w:ascii="宋体" w:hAnsi="宋体" w:cs="宋体"/>
                <w:szCs w:val="21"/>
              </w:rPr>
              <w:t>条款</w:t>
            </w:r>
            <w:r>
              <w:rPr>
                <w:rFonts w:hint="eastAsia" w:ascii="宋体" w:hAnsi="宋体"/>
                <w:szCs w:val="21"/>
              </w:rPr>
              <w:t>2019年</w:t>
            </w:r>
            <w:r>
              <w:rPr>
                <w:rFonts w:hint="eastAsia" w:ascii="宋体" w:hAnsi="宋体"/>
                <w:szCs w:val="21"/>
                <w:lang w:val="en-US" w:eastAsia="zh-CN"/>
              </w:rPr>
              <w:t>7</w:t>
            </w:r>
            <w:r>
              <w:rPr>
                <w:rFonts w:hint="eastAsia" w:ascii="宋体" w:hAnsi="宋体"/>
                <w:szCs w:val="21"/>
              </w:rPr>
              <w:t>月未查见对相关方告知书发放的证据，已及时采取纠正措施后，经内审员验证关闭。内审的有效性需要改善。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2019年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27</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5.  EMS是否按规定对主要污染物（污水、废气、噪声、废渣等）及排放实施了例行的监视或测量，结果是否满足相关要求？</w:t>
            </w:r>
          </w:p>
          <w:p>
            <w:pPr>
              <w:spacing w:line="400" w:lineRule="exact"/>
              <w:rPr>
                <w:rFonts w:hint="eastAsia" w:eastAsia="宋体"/>
                <w:sz w:val="20"/>
                <w:szCs w:val="20"/>
                <w:highlight w:val="none"/>
                <w:lang w:eastAsia="zh-CN"/>
              </w:rPr>
            </w:pPr>
            <w:r>
              <w:rPr>
                <w:rFonts w:hint="eastAsia" w:ascii="宋体" w:hAnsi="宋体"/>
                <w:szCs w:val="21"/>
                <w:highlight w:val="none"/>
              </w:rPr>
              <w:t>提供有</w:t>
            </w:r>
            <w:r>
              <w:rPr>
                <w:rFonts w:hint="eastAsia" w:ascii="宋体" w:hAnsi="宋体"/>
                <w:szCs w:val="21"/>
                <w:highlight w:val="none"/>
                <w:lang w:val="en-US" w:eastAsia="zh-CN"/>
              </w:rPr>
              <w:t>1）</w:t>
            </w:r>
            <w:r>
              <w:rPr>
                <w:rFonts w:hint="eastAsia" w:ascii="宋体" w:hAnsi="宋体"/>
                <w:szCs w:val="21"/>
                <w:highlight w:val="none"/>
              </w:rPr>
              <w:t>2019年9月11日废水监测报告（编号：ZHJC（环）201903053Y003）</w:t>
            </w:r>
            <w:r>
              <w:rPr>
                <w:rFonts w:hint="eastAsia" w:ascii="宋体" w:hAnsi="宋体"/>
                <w:szCs w:val="21"/>
                <w:highlight w:val="none"/>
                <w:lang w:eastAsia="zh-CN"/>
              </w:rPr>
              <w:t>；</w:t>
            </w:r>
            <w:r>
              <w:rPr>
                <w:rFonts w:hint="eastAsia" w:ascii="宋体" w:hAnsi="宋体"/>
                <w:szCs w:val="21"/>
                <w:highlight w:val="none"/>
                <w:lang w:val="en-US" w:eastAsia="zh-CN"/>
              </w:rPr>
              <w:t>2）</w:t>
            </w:r>
            <w:r>
              <w:rPr>
                <w:rFonts w:hint="eastAsia" w:ascii="宋体" w:hAnsi="宋体"/>
                <w:szCs w:val="21"/>
                <w:highlight w:val="none"/>
              </w:rPr>
              <w:t>2019年6月19日噪声监测报告（编号ZHJC（环）201903053Y002（03）号）</w:t>
            </w:r>
            <w:r>
              <w:rPr>
                <w:rFonts w:hint="eastAsia" w:ascii="宋体" w:hAnsi="宋体"/>
                <w:szCs w:val="21"/>
                <w:highlight w:val="none"/>
                <w:lang w:eastAsia="zh-CN"/>
              </w:rPr>
              <w:t>；</w:t>
            </w:r>
            <w:r>
              <w:rPr>
                <w:rFonts w:hint="eastAsia" w:ascii="宋体" w:hAnsi="宋体"/>
                <w:szCs w:val="21"/>
                <w:highlight w:val="none"/>
                <w:lang w:val="en-US" w:eastAsia="zh-CN"/>
              </w:rPr>
              <w:t>3）</w:t>
            </w:r>
            <w:r>
              <w:rPr>
                <w:rFonts w:hint="eastAsia" w:ascii="宋体" w:hAnsi="宋体"/>
                <w:szCs w:val="21"/>
                <w:highlight w:val="none"/>
              </w:rPr>
              <w:t>2019年6月19日废气监测报告（编号ZHJC（环）201903053Y002（02）号）</w:t>
            </w:r>
            <w:r>
              <w:rPr>
                <w:rFonts w:ascii="宋体" w:hAnsi="宋体" w:eastAsia="宋体" w:cs="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 xml:space="preserve">6.  </w:t>
            </w:r>
            <w:r>
              <w:rPr>
                <w:b/>
                <w:color w:val="000000" w:themeColor="text1"/>
                <w:sz w:val="20"/>
                <w:szCs w:val="20"/>
                <w:highlight w:val="none"/>
              </w:rPr>
              <w:t>EMS</w:t>
            </w:r>
            <w:r>
              <w:rPr>
                <w:rFonts w:hint="eastAsia"/>
                <w:b/>
                <w:color w:val="000000" w:themeColor="text1"/>
                <w:sz w:val="20"/>
                <w:szCs w:val="20"/>
                <w:highlight w:val="none"/>
              </w:rPr>
              <w:t xml:space="preserve">国家/地方环保部门监测结果、新改扩建项目符合环评报告、三同时验收报告要求情况及措施 </w:t>
            </w:r>
          </w:p>
          <w:p>
            <w:pPr>
              <w:spacing w:line="240" w:lineRule="exact"/>
              <w:rPr>
                <w:b/>
                <w:sz w:val="20"/>
                <w:szCs w:val="20"/>
                <w:highlight w:val="none"/>
              </w:rPr>
            </w:pPr>
            <w:r>
              <w:rPr>
                <w:rFonts w:hint="eastAsia" w:ascii="宋体" w:hAnsi="宋体"/>
                <w:szCs w:val="21"/>
                <w:highlight w:val="none"/>
              </w:rPr>
              <w:t>提供有</w:t>
            </w:r>
            <w:r>
              <w:rPr>
                <w:rFonts w:hint="eastAsia" w:ascii="宋体" w:hAnsi="宋体" w:cs="宋体"/>
                <w:color w:val="000000"/>
                <w:kern w:val="0"/>
                <w:szCs w:val="21"/>
                <w:highlight w:val="none"/>
                <w:lang w:val="en-US" w:eastAsia="zh-CN"/>
              </w:rPr>
              <w:t>10万吨/年蓝剑精品啤酒生产线技改项目环境保护验收申请报告、川环验（2009）083号。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b/>
                <w:color w:val="000000" w:themeColor="text1"/>
                <w:sz w:val="20"/>
                <w:szCs w:val="20"/>
                <w:highlight w:val="none"/>
              </w:rPr>
            </w:pPr>
            <w:r>
              <w:rPr>
                <w:rFonts w:hint="eastAsia"/>
                <w:b/>
                <w:color w:val="000000" w:themeColor="text1"/>
                <w:sz w:val="20"/>
                <w:szCs w:val="20"/>
                <w:highlight w:val="none"/>
              </w:rPr>
              <w:t>7. OHSMS是否按规定对职业健康安全项目进行定期测量，结果是否满足相关要求：</w:t>
            </w:r>
          </w:p>
          <w:p>
            <w:pPr>
              <w:spacing w:line="240" w:lineRule="exact"/>
              <w:rPr>
                <w:rFonts w:hint="eastAsia" w:eastAsia="宋体"/>
                <w:b/>
                <w:sz w:val="20"/>
                <w:szCs w:val="20"/>
                <w:highlight w:val="none"/>
                <w:lang w:eastAsia="zh-CN"/>
              </w:rPr>
            </w:pPr>
            <w:r>
              <w:rPr>
                <w:rFonts w:hint="eastAsia" w:ascii="宋体" w:hAnsi="宋体"/>
                <w:szCs w:val="21"/>
                <w:highlight w:val="none"/>
              </w:rPr>
              <w:t>提供有2019年</w:t>
            </w:r>
            <w:r>
              <w:rPr>
                <w:rFonts w:hint="eastAsia" w:ascii="宋体" w:hAnsi="宋体"/>
                <w:szCs w:val="21"/>
                <w:highlight w:val="none"/>
                <w:lang w:val="en-US" w:eastAsia="zh-CN"/>
              </w:rPr>
              <w:t>10</w:t>
            </w:r>
            <w:r>
              <w:rPr>
                <w:rFonts w:hint="eastAsia" w:ascii="宋体" w:hAnsi="宋体"/>
                <w:szCs w:val="21"/>
                <w:highlight w:val="none"/>
              </w:rPr>
              <w:t>月作业场所职业评价（川泰（职）检（2019）5</w:t>
            </w:r>
            <w:r>
              <w:rPr>
                <w:rFonts w:hint="eastAsia" w:ascii="宋体" w:hAnsi="宋体"/>
                <w:szCs w:val="21"/>
                <w:highlight w:val="none"/>
                <w:lang w:val="en-US" w:eastAsia="zh-CN"/>
              </w:rPr>
              <w:t>58</w:t>
            </w:r>
            <w:r>
              <w:rPr>
                <w:rFonts w:hint="eastAsia" w:ascii="宋体" w:hAnsi="宋体"/>
                <w:szCs w:val="21"/>
                <w:highlight w:val="none"/>
              </w:rPr>
              <w:t>号）</w:t>
            </w:r>
            <w:r>
              <w:rPr>
                <w:rFonts w:hint="eastAsia" w:ascii="宋体" w:hAnsi="宋体"/>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sz w:val="20"/>
                <w:szCs w:val="20"/>
              </w:rPr>
            </w:pPr>
            <w:r>
              <w:rPr>
                <w:rFonts w:hint="eastAsia"/>
                <w:b/>
                <w:sz w:val="20"/>
                <w:szCs w:val="20"/>
              </w:rPr>
              <w:t>9. 其他能够标明组织绩效、信誉的证据/信息：</w:t>
            </w:r>
          </w:p>
          <w:p>
            <w:pPr>
              <w:widowControl/>
              <w:spacing w:line="240" w:lineRule="exact"/>
              <w:rPr>
                <w:b/>
                <w:color w:val="FF0000"/>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highlight w:val="none"/>
        </w:rPr>
      </w:pPr>
      <w:r>
        <w:rPr>
          <w:rFonts w:hint="eastAsia"/>
          <w:b/>
          <w:color w:val="000000" w:themeColor="text1"/>
          <w:highlight w:val="none"/>
        </w:rPr>
        <w:t>1. 本次审核共开具不符合项报告</w:t>
      </w:r>
      <w:r>
        <w:rPr>
          <w:rFonts w:hint="eastAsia"/>
          <w:b/>
          <w:highlight w:val="none"/>
        </w:rPr>
        <w:t>1项；其中</w:t>
      </w:r>
      <w:r>
        <w:rPr>
          <w:b/>
          <w:highlight w:val="none"/>
        </w:rPr>
        <w:pict>
          <v:line id="直接连接符 1" o:spid="_x0000_s2052" o:spt="20" style="position:absolute;left:0pt;margin-left:210pt;margin-top:16.2pt;height:0pt;width:0pt;z-index:251698176;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highlight w:val="none"/>
        </w:rPr>
        <w:t>严重不符合0项，一般不符合 1项，观察项0项，分布在部门</w:t>
      </w:r>
      <w:r>
        <w:rPr>
          <w:rFonts w:hint="eastAsia"/>
          <w:b/>
          <w:highlight w:val="none"/>
          <w:lang w:eastAsia="zh-CN"/>
        </w:rPr>
        <w:t>行政部</w:t>
      </w:r>
      <w:r>
        <w:rPr>
          <w:rFonts w:hint="eastAsia"/>
          <w:b/>
          <w:highlight w:val="none"/>
        </w:rPr>
        <w:t>E</w:t>
      </w:r>
      <w:r>
        <w:rPr>
          <w:rFonts w:hint="eastAsia"/>
          <w:b/>
          <w:highlight w:val="none"/>
          <w:lang w:val="en-US" w:eastAsia="zh-CN"/>
        </w:rPr>
        <w:t>8.2</w:t>
      </w:r>
      <w:r>
        <w:rPr>
          <w:rFonts w:hint="eastAsia"/>
          <w:b/>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1"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GJB   ■</w:t>
            </w:r>
            <w:r>
              <w:rPr>
                <w:rFonts w:hint="eastAsia"/>
                <w:b/>
                <w:color w:val="000000" w:themeColor="text1"/>
                <w:sz w:val="22"/>
                <w:szCs w:val="22"/>
              </w:rPr>
              <w:t>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4" w:hRule="atLeast"/>
        </w:trPr>
        <w:tc>
          <w:tcPr>
            <w:tcW w:w="10080" w:type="dxa"/>
          </w:tcPr>
          <w:p>
            <w:pPr>
              <w:numPr>
                <w:ilvl w:val="0"/>
                <w:numId w:val="3"/>
              </w:numPr>
              <w:rPr>
                <w:rFonts w:hint="eastAsia"/>
                <w:b/>
                <w:color w:val="000000" w:themeColor="text1"/>
              </w:rPr>
            </w:pPr>
            <w:r>
              <w:rPr>
                <w:rFonts w:hint="eastAsia"/>
                <w:b/>
                <w:color w:val="000000" w:themeColor="text1"/>
              </w:rPr>
              <w:t>对审核范围适宜性结论</w:t>
            </w:r>
          </w:p>
          <w:p>
            <w:pPr>
              <w:numPr>
                <w:ilvl w:val="0"/>
                <w:numId w:val="0"/>
              </w:num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rPr>
                <w:rFonts w:hint="eastAsia" w:ascii="宋体" w:hAnsi="宋体" w:cs="Times New Roman"/>
                <w:b/>
                <w:color w:val="000000" w:themeColor="text1"/>
              </w:rPr>
            </w:pPr>
            <w:r>
              <w:rPr>
                <w:rFonts w:hint="eastAsia" w:ascii="宋体" w:hAnsi="宋体" w:cs="Times New Roman"/>
                <w:b/>
                <w:color w:val="000000" w:themeColor="text1"/>
              </w:rPr>
              <w:t>EMS:</w:t>
            </w:r>
            <w:r>
              <w:rPr>
                <w:rFonts w:hint="eastAsia" w:ascii="宋体" w:hAnsi="宋体" w:cs="Times New Roman"/>
                <w:b/>
                <w:color w:val="000000" w:themeColor="text1"/>
                <w:u w:val="single"/>
              </w:rPr>
              <w:t xml:space="preserve"> 雪花啤酒的生产及其所涉及的环境管理活动。</w:t>
            </w:r>
          </w:p>
          <w:p>
            <w:pPr>
              <w:rPr>
                <w:rFonts w:hint="eastAsia" w:ascii="宋体" w:hAnsi="宋体" w:cs="Times New Roman"/>
                <w:b/>
                <w:color w:val="000000" w:themeColor="text1"/>
                <w:u w:val="single"/>
              </w:rPr>
            </w:pPr>
            <w:r>
              <w:rPr>
                <w:rFonts w:hint="eastAsia" w:ascii="宋体" w:hAnsi="宋体" w:cs="Times New Roman"/>
                <w:b/>
                <w:color w:val="000000" w:themeColor="text1"/>
              </w:rPr>
              <w:t>OHSMS:</w:t>
            </w:r>
            <w:r>
              <w:rPr>
                <w:rFonts w:hint="eastAsia" w:ascii="宋体" w:hAnsi="宋体" w:cs="Times New Roman"/>
                <w:b/>
                <w:color w:val="000000" w:themeColor="text1"/>
                <w:u w:val="single"/>
              </w:rPr>
              <w:t>雪花啤酒的生产及其所涉及的职业健康安全管理活动。</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EMS   ■OHSMS)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bookmarkStart w:id="22" w:name="_GoBack"/>
      <w:bookmarkEnd w:id="22"/>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371F98"/>
    <w:multiLevelType w:val="singleLevel"/>
    <w:tmpl w:val="8F371F98"/>
    <w:lvl w:ilvl="0" w:tentative="0">
      <w:start w:val="2"/>
      <w:numFmt w:val="decimal"/>
      <w:lvlText w:val="%1."/>
      <w:lvlJc w:val="left"/>
      <w:pPr>
        <w:tabs>
          <w:tab w:val="left" w:pos="312"/>
        </w:tabs>
      </w:p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61C3C47"/>
    <w:rsid w:val="258447F1"/>
    <w:rsid w:val="4A7533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6</TotalTime>
  <ScaleCrop>false</ScaleCrop>
  <LinksUpToDate>false</LinksUpToDate>
  <CharactersWithSpaces>5143</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2019-12-26T05:14:14Z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