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浙江华诺化工有限公司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12.04.01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张德昌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12.04.01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tabs>
                <w:tab w:val="left" w:pos="360"/>
              </w:tabs>
              <w:ind w:left="360" w:hanging="360"/>
            </w:pPr>
            <w:r>
              <w:drawing>
                <wp:inline distT="0" distB="0" distL="114300" distR="114300">
                  <wp:extent cx="4831080" cy="2289810"/>
                  <wp:effectExtent l="0" t="0" r="762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080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60"/>
              </w:tabs>
              <w:ind w:left="360" w:hanging="360"/>
            </w:pPr>
          </w:p>
          <w:p>
            <w:pPr>
              <w:tabs>
                <w:tab w:val="left" w:pos="360"/>
              </w:tabs>
              <w:ind w:left="360" w:leftChars="0" w:hanging="360" w:firstLineChars="0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4931410" cy="3817620"/>
                  <wp:effectExtent l="0" t="0" r="8890" b="508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410" cy="381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-2607310</wp:posOffset>
                  </wp:positionV>
                  <wp:extent cx="5208270" cy="3020695"/>
                  <wp:effectExtent l="0" t="0" r="11430" b="1905"/>
                  <wp:wrapSquare wrapText="bothSides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270" cy="30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安全生产法</w:t>
            </w:r>
            <w:r>
              <w:rPr>
                <w:rFonts w:hint="eastAsia"/>
                <w:b/>
                <w:sz w:val="20"/>
                <w:lang w:eastAsia="zh-CN"/>
              </w:rPr>
              <w:t>、劳动法、劳动合同法、职业病防治法、消防法、传染病防治法、特种设备安全法、建设项目安全设施“三同时”监督管理暂行办法、工伤保险条例、特种设备安全法、建设项目安全设施“三同时”监督管理暂行办法、危险化学品安全管理条例、《生产安全事故应急条例》、职业病目录、职业性健康检查管理规定、用人单位职业病危害防治八条规定、生产经营单位安全培训规定、生产安全事故应急预案管理办法、用人单位职业病危害告知与警示标识管理规范、劳动防护用品管理规定、关于印发《劳动防护用品配备标准（试行）》的通知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皂类产品的开发和生产，甘油产品的生产所涉及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的相关职业健康安全知识；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177800</wp:posOffset>
                  </wp:positionV>
                  <wp:extent cx="755015" cy="325755"/>
                  <wp:effectExtent l="0" t="0" r="6985" b="4445"/>
                  <wp:wrapSquare wrapText="bothSides"/>
                  <wp:docPr id="7" name="图片 7" descr="fb1f5b7a968db23ad054ce145330e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b1f5b7a968db23ad054ce145330e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161290</wp:posOffset>
                  </wp:positionV>
                  <wp:extent cx="647700" cy="304800"/>
                  <wp:effectExtent l="0" t="0" r="0" b="0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5C3152"/>
    <w:rsid w:val="35436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2022-07-23T01:03:40Z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