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苏州江洁物业服务有限公司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未见重大变更记录，监1年度1-3阶文件建立时间2022.1.5.不合适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3" w:name="_GoBack"/>
            <w:r>
              <w:rPr>
                <w:rFonts w:hint="eastAsia" w:ascii="Times New Roman" w:hAnsi="Times New Roman" w:eastAsia="宋体" w:cs="Times New Roman"/>
                <w:bCs w:val="0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  <w:t>公司目标达成统计应归类显示；考核频率规定应明确；</w:t>
            </w:r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227311A"/>
    <w:rsid w:val="02AB46E5"/>
    <w:rsid w:val="08670714"/>
    <w:rsid w:val="0A5624D8"/>
    <w:rsid w:val="0A68069A"/>
    <w:rsid w:val="2384230A"/>
    <w:rsid w:val="34012F1B"/>
    <w:rsid w:val="36C737F5"/>
    <w:rsid w:val="4BED22AB"/>
    <w:rsid w:val="5E230212"/>
    <w:rsid w:val="7F5C5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169</Characters>
  <Lines>1</Lines>
  <Paragraphs>1</Paragraphs>
  <TotalTime>1</TotalTime>
  <ScaleCrop>false</ScaleCrop>
  <LinksUpToDate>false</LinksUpToDate>
  <CharactersWithSpaces>176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2022-06-26T08:53:33Z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