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0490-2022-QEO HSE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安庆博安安全技术服务有限公司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spacing w:line="240" w:lineRule="exact"/>
        <w:jc w:val="left"/>
        <w:rPr>
          <w:sz w:val="28"/>
          <w:szCs w:val="28"/>
        </w:rPr>
      </w:pPr>
      <w:r>
        <w:rPr>
          <w:rFonts w:hint="eastAsia"/>
          <w:sz w:val="28"/>
          <w:szCs w:val="28"/>
        </w:rPr>
        <w:t>■</w:t>
      </w:r>
      <w:r>
        <w:rPr>
          <w:rFonts w:hint="eastAsia" w:ascii="宋体" w:hAnsi="宋体" w:cs="宋体"/>
          <w:color w:val="000000"/>
          <w:kern w:val="0"/>
          <w:sz w:val="28"/>
          <w:szCs w:val="28"/>
        </w:rPr>
        <w:t>HSE：</w:t>
      </w:r>
      <w:r>
        <w:rPr>
          <w:rFonts w:hint="eastAsia" w:ascii="宋体" w:hAnsi="宋体" w:cs="宋体"/>
          <w:color w:val="000000"/>
          <w:kern w:val="0"/>
          <w:sz w:val="21"/>
          <w:szCs w:val="21"/>
        </w:rPr>
        <w:t>中国石油化工集团有限公司HSE 管理体系手册2021-6版</w:t>
      </w:r>
    </w:p>
    <w:p>
      <w:pPr>
        <w:jc w:val="center"/>
        <w:rPr>
          <w:rFonts w:hint="eastAsia"/>
          <w:sz w:val="32"/>
          <w:szCs w:val="32"/>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13"/>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安庆博安安全技术服务有限公司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安徽省安庆市大观区油化一路五号</w:t>
            </w:r>
            <w:bookmarkEnd w:id="6"/>
          </w:p>
        </w:tc>
        <w:tc>
          <w:tcPr>
            <w:tcW w:w="1242" w:type="dxa"/>
            <w:vMerge w:val="restart"/>
            <w:vAlign w:val="center"/>
          </w:tcPr>
          <w:p>
            <w:r>
              <w:rPr>
                <w:rFonts w:hint="eastAsia"/>
              </w:rPr>
              <w:t>邮编</w:t>
            </w:r>
          </w:p>
        </w:tc>
        <w:tc>
          <w:tcPr>
            <w:tcW w:w="1771" w:type="dxa"/>
          </w:tcPr>
          <w:p>
            <w:bookmarkStart w:id="7" w:name="注册邮编"/>
            <w:r>
              <w:t>246001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安徽省安庆市大观区油化一路五号</w:t>
            </w:r>
            <w:bookmarkEnd w:id="8"/>
          </w:p>
        </w:tc>
        <w:tc>
          <w:tcPr>
            <w:tcW w:w="1242" w:type="dxa"/>
            <w:vMerge w:val="continue"/>
            <w:vAlign w:val="center"/>
          </w:tcPr>
          <w:p/>
        </w:tc>
        <w:tc>
          <w:tcPr>
            <w:tcW w:w="1771" w:type="dxa"/>
          </w:tcPr>
          <w:p>
            <w:bookmarkStart w:id="9" w:name="办公邮编"/>
            <w:r>
              <w:t>246001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邓元冬</w:t>
            </w:r>
            <w:bookmarkEnd w:id="10"/>
          </w:p>
        </w:tc>
        <w:tc>
          <w:tcPr>
            <w:tcW w:w="1313" w:type="dxa"/>
            <w:vAlign w:val="center"/>
          </w:tcPr>
          <w:p>
            <w:r>
              <w:rPr>
                <w:rFonts w:hint="eastAsia"/>
              </w:rPr>
              <w:t>电话.</w:t>
            </w:r>
          </w:p>
        </w:tc>
        <w:tc>
          <w:tcPr>
            <w:tcW w:w="2180" w:type="dxa"/>
            <w:vAlign w:val="center"/>
          </w:tcPr>
          <w:p>
            <w:bookmarkStart w:id="11" w:name="联系人电话"/>
            <w:r>
              <w:t>13013169138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李向东</w:t>
            </w:r>
            <w:bookmarkEnd w:id="13"/>
          </w:p>
        </w:tc>
        <w:tc>
          <w:tcPr>
            <w:tcW w:w="1313" w:type="dxa"/>
            <w:vAlign w:val="center"/>
          </w:tcPr>
          <w:p>
            <w:r>
              <w:rPr>
                <w:rFonts w:hint="eastAsia"/>
              </w:rPr>
              <w:t>管理者代表</w:t>
            </w:r>
          </w:p>
        </w:tc>
        <w:tc>
          <w:tcPr>
            <w:tcW w:w="2180" w:type="dxa"/>
          </w:tcPr>
          <w:p>
            <w:bookmarkStart w:id="14" w:name="管理者代表"/>
            <w:r>
              <w:t>邓元冬</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sz w:val="20"/>
              </w:rPr>
              <w:t>安全咨询服务流程：与客户洽谈签订合同→收集资料了解服务对象工艺及生产情况→编制计划服务内容→培训→安全技术服务→记录→服务内容收集</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2022年06月24日 上午至2022年06月25日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1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 xml:space="preserve">顾客要求 </w:t>
            </w:r>
            <w:r>
              <w:rPr>
                <w:rFonts w:hint="eastAsia"/>
                <w:lang w:val="de-DE"/>
              </w:rPr>
              <w:t>■</w:t>
            </w:r>
            <w:r>
              <w:rPr>
                <w:rFonts w:ascii="宋体" w:hAnsi="宋体" w:cs="宋体"/>
                <w:color w:val="000000"/>
                <w:kern w:val="0"/>
                <w:szCs w:val="21"/>
              </w:rPr>
              <w:t>HSE：</w:t>
            </w:r>
            <w:r>
              <w:rPr>
                <w:rFonts w:hint="eastAsia" w:ascii="宋体" w:hAnsi="宋体" w:cs="宋体"/>
                <w:color w:val="000000"/>
                <w:kern w:val="0"/>
                <w:sz w:val="21"/>
                <w:szCs w:val="21"/>
              </w:rPr>
              <w:t>中国石油化工集团有限公司HSE 管理体系手册2021-6版</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2"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pStyle w:val="13"/>
              <w:rPr>
                <w:rFonts w:hint="eastAsia" w:ascii="宋体"/>
                <w:b/>
                <w:color w:val="000000"/>
                <w:szCs w:val="21"/>
                <w:lang w:eastAsia="zh-CN"/>
              </w:rPr>
            </w:pPr>
            <w:r>
              <w:rPr>
                <w:rFonts w:eastAsia="黑体" w:cs="Arial"/>
                <w:sz w:val="21"/>
                <w:szCs w:val="21"/>
                <w:lang w:eastAsia="zh-CN"/>
              </w:rPr>
              <w:t>经营场所</w:t>
            </w:r>
            <w:r>
              <w:rPr>
                <w:rFonts w:hint="eastAsia" w:eastAsia="黑体" w:cs="Arial"/>
                <w:sz w:val="21"/>
                <w:szCs w:val="21"/>
                <w:lang w:eastAsia="zh-CN"/>
              </w:rPr>
              <w:t>：</w:t>
            </w:r>
            <w:r>
              <w:rPr>
                <w:rFonts w:ascii="宋体"/>
                <w:b/>
                <w:color w:val="000000"/>
                <w:szCs w:val="21"/>
              </w:rPr>
              <w:t>安徽省安庆市大观区油化一路五号</w:t>
            </w:r>
            <w:r>
              <w:rPr>
                <w:rFonts w:hint="eastAsia" w:ascii="宋体"/>
                <w:b/>
                <w:color w:val="000000"/>
                <w:szCs w:val="21"/>
                <w:lang w:eastAsia="zh-CN"/>
              </w:rPr>
              <w:t>；</w:t>
            </w:r>
          </w:p>
          <w:p>
            <w:pPr>
              <w:pStyle w:val="13"/>
              <w:rPr>
                <w:rFonts w:hint="eastAsia" w:eastAsia="宋体"/>
                <w:lang w:val="en-US" w:eastAsia="zh-CN"/>
              </w:rPr>
            </w:pPr>
            <w:r>
              <w:rPr>
                <w:rFonts w:hint="eastAsia"/>
                <w:lang w:val="en-US" w:eastAsia="zh-CN"/>
              </w:rPr>
              <w:t>临时场所：</w:t>
            </w:r>
          </w:p>
          <w:p>
            <w:pPr>
              <w:rPr>
                <w:rFonts w:hint="default"/>
                <w:color w:val="000000"/>
                <w:szCs w:val="21"/>
                <w:u w:val="single"/>
                <w:lang w:val="en-US"/>
              </w:rPr>
            </w:pPr>
            <w:r>
              <w:rPr>
                <w:rFonts w:hint="eastAsia" w:ascii="宋体" w:hAnsi="宋体" w:cs="Arial"/>
                <w:szCs w:val="21"/>
                <w:u w:val="single"/>
              </w:rPr>
              <w:t>安庆市高新区安全管家服务场所</w:t>
            </w:r>
            <w:r>
              <w:rPr>
                <w:rFonts w:hint="eastAsia" w:ascii="宋体" w:hAnsi="宋体" w:cs="Arial"/>
                <w:szCs w:val="21"/>
                <w:u w:val="single"/>
                <w:lang w:eastAsia="zh-CN"/>
              </w:rPr>
              <w:t>（</w:t>
            </w:r>
            <w:r>
              <w:rPr>
                <w:rFonts w:hint="eastAsia" w:ascii="宋体" w:hAnsi="宋体"/>
                <w:color w:val="000000"/>
                <w:u w:val="single"/>
                <w:lang w:val="en-US" w:eastAsia="zh-CN"/>
              </w:rPr>
              <w:t>安徽时联特种溶剂股份有限公司；安庆市大观区皖河大道7号）</w:t>
            </w:r>
          </w:p>
          <w:p>
            <w:pPr>
              <w:rPr>
                <w:rFonts w:hint="eastAsia" w:ascii="宋体" w:eastAsia="宋体"/>
                <w:b/>
                <w:color w:val="0000FF"/>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Q：安全咨询服务</w:t>
            </w:r>
          </w:p>
          <w:p>
            <w:r>
              <w:t>E：安全咨询服务所涉及场所的相关环境管理活动</w:t>
            </w:r>
          </w:p>
          <w:p>
            <w:r>
              <w:t>O：安全咨询服务所涉及场所的相关职业健康安全管理活动</w:t>
            </w:r>
          </w:p>
          <w:p>
            <w:r>
              <w:t>HSE：安全咨询服务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Q：34.06.00</w:t>
            </w:r>
          </w:p>
          <w:p>
            <w:r>
              <w:t>E：34.06.00</w:t>
            </w:r>
          </w:p>
          <w:p>
            <w:r>
              <w:t>O：34.06.00</w:t>
            </w:r>
          </w:p>
          <w:p>
            <w:r>
              <w:t>HSE：34A</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color w:val="000000"/>
                <w:sz w:val="24"/>
                <w:szCs w:val="24"/>
              </w:rPr>
              <w:t>安庆博安安全技术服务有限公司</w:t>
            </w:r>
            <w:r>
              <w:rPr>
                <w:rFonts w:hint="eastAsia"/>
                <w:color w:val="000000"/>
                <w:sz w:val="24"/>
                <w:szCs w:val="24"/>
                <w:lang w:eastAsia="zh-CN"/>
              </w:rPr>
              <w:t>；</w:t>
            </w:r>
            <w:r>
              <w:rPr>
                <w:rFonts w:hint="eastAsia"/>
                <w:szCs w:val="21"/>
                <w:u w:val="single"/>
              </w:rPr>
              <w:t>安徽省安庆市大观区油化一路五号</w:t>
            </w:r>
            <w:r>
              <w:rPr>
                <w:rFonts w:ascii="宋体" w:hAnsi="宋体"/>
                <w:color w:val="000000"/>
                <w:szCs w:val="21"/>
                <w:u w:val="single"/>
              </w:rPr>
              <w:t xml:space="preserve"> </w:t>
            </w:r>
          </w:p>
        </w:tc>
        <w:tc>
          <w:tcPr>
            <w:tcW w:w="2267" w:type="dxa"/>
          </w:tcPr>
          <w:p>
            <w:pPr>
              <w:spacing w:before="40" w:after="40"/>
            </w:pPr>
            <w:r>
              <w:rPr>
                <w:rFonts w:hint="eastAsia"/>
              </w:rPr>
              <w:t>安徽省安庆市大观区油化一路五号</w:t>
            </w:r>
            <w:r>
              <w:t xml:space="preserve"> </w:t>
            </w:r>
          </w:p>
          <w:p>
            <w:pPr>
              <w:pStyle w:val="13"/>
            </w:pPr>
          </w:p>
          <w:p>
            <w:pPr>
              <w:pStyle w:val="13"/>
            </w:pPr>
          </w:p>
          <w:p>
            <w:pPr>
              <w:pStyle w:val="13"/>
              <w:rPr>
                <w:rFonts w:hint="eastAsia" w:eastAsia="宋体"/>
                <w:lang w:val="en-US" w:eastAsia="zh-CN"/>
              </w:rPr>
            </w:pPr>
            <w:r>
              <w:rPr>
                <w:rFonts w:hint="eastAsia"/>
                <w:lang w:val="en-US" w:eastAsia="zh-CN"/>
              </w:rPr>
              <w:t>临时场所：</w:t>
            </w:r>
          </w:p>
          <w:p>
            <w:pPr>
              <w:rPr>
                <w:rFonts w:hint="default"/>
                <w:color w:val="000000"/>
                <w:szCs w:val="21"/>
                <w:u w:val="single"/>
                <w:lang w:val="en-US"/>
              </w:rPr>
            </w:pPr>
            <w:r>
              <w:rPr>
                <w:rFonts w:hint="eastAsia" w:ascii="宋体" w:hAnsi="宋体" w:cs="Arial"/>
                <w:szCs w:val="21"/>
                <w:u w:val="single"/>
              </w:rPr>
              <w:t>安庆市高新区安全管家服务场所</w:t>
            </w:r>
            <w:r>
              <w:rPr>
                <w:rFonts w:hint="eastAsia" w:ascii="宋体" w:hAnsi="宋体" w:cs="Arial"/>
                <w:szCs w:val="21"/>
                <w:u w:val="single"/>
                <w:lang w:eastAsia="zh-CN"/>
              </w:rPr>
              <w:t>（</w:t>
            </w:r>
            <w:r>
              <w:rPr>
                <w:rFonts w:hint="eastAsia" w:ascii="宋体" w:hAnsi="宋体"/>
                <w:color w:val="000000"/>
                <w:u w:val="single"/>
                <w:lang w:val="en-US" w:eastAsia="zh-CN"/>
              </w:rPr>
              <w:t>安徽时联特种溶剂股份有限公司；安庆市大观区皖河大道7号）</w:t>
            </w:r>
          </w:p>
          <w:p>
            <w:pPr>
              <w:rPr>
                <w:lang w:val="de-DE" w:eastAsia="ja-JP"/>
              </w:rPr>
            </w:pP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r>
              <w:t>Q：安全咨询服务</w:t>
            </w:r>
          </w:p>
          <w:p>
            <w:r>
              <w:t>E：安全咨询服务所涉及场所的相关环境管理活动</w:t>
            </w:r>
          </w:p>
          <w:p>
            <w:r>
              <w:t>O：安全咨询服务所涉及场所的相关职业健康安全管理活动</w:t>
            </w:r>
          </w:p>
          <w:p>
            <w:r>
              <w:rPr>
                <w:rFonts w:hint="eastAsia" w:eastAsia="宋体"/>
                <w:lang w:val="en-US" w:eastAsia="zh-CN"/>
              </w:rPr>
              <w:t>H</w:t>
            </w:r>
            <w:r>
              <w:t>：安全咨询服务</w:t>
            </w:r>
          </w:p>
          <w:p>
            <w:pPr>
              <w:pStyle w:val="2"/>
              <w:rPr>
                <w:rFonts w:hint="eastAsia" w:eastAsia="宋体"/>
                <w:lang w:val="en-US" w:eastAsia="zh-CN"/>
              </w:rPr>
            </w:pPr>
          </w:p>
        </w:tc>
        <w:tc>
          <w:tcPr>
            <w:tcW w:w="66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r>
              <w:rPr>
                <w:rFonts w:hint="eastAsia"/>
              </w:rPr>
              <w:t xml:space="preserve"> </w:t>
            </w:r>
            <w:r>
              <w:rPr>
                <w:rFonts w:hint="eastAsia"/>
                <w:lang w:val="de-DE"/>
              </w:rPr>
              <w:t>■</w:t>
            </w:r>
            <w:r>
              <w:rPr>
                <w:rFonts w:ascii="宋体" w:hAnsi="宋体" w:cs="宋体"/>
                <w:color w:val="000000"/>
                <w:kern w:val="0"/>
                <w:szCs w:val="21"/>
              </w:rPr>
              <w:t>HSE：</w:t>
            </w:r>
            <w:r>
              <w:rPr>
                <w:rFonts w:hint="eastAsia" w:ascii="宋体" w:hAnsi="宋体" w:cs="宋体"/>
                <w:color w:val="000000"/>
                <w:kern w:val="0"/>
                <w:sz w:val="21"/>
                <w:szCs w:val="21"/>
              </w:rPr>
              <w:t>中国石油化工集团有限公司HSE 管理体系手册2021-6版</w:t>
            </w:r>
          </w:p>
          <w:p>
            <w:pPr>
              <w:rPr>
                <w:lang w:eastAsia="ja-JP"/>
              </w:rPr>
            </w:pP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w:t>
            </w:r>
            <w:r>
              <w:rPr>
                <w:rFonts w:hint="eastAsia"/>
              </w:rPr>
              <w:sym w:font="Wingdings 2" w:char="00A3"/>
            </w:r>
            <w:r>
              <w:rPr>
                <w:rFonts w:hint="eastAsia"/>
              </w:rPr>
              <w:t>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pPr>
              <w:rPr>
                <w:rFonts w:hint="default" w:eastAsia="宋体"/>
                <w:lang w:val="en-US" w:eastAsia="zh-CN"/>
              </w:rPr>
            </w:pPr>
            <w:r>
              <w:t>组长</w:t>
            </w:r>
            <w:r>
              <w:rPr>
                <w:rFonts w:hint="eastAsia"/>
                <w:lang w:val="en-US" w:eastAsia="zh-CN"/>
              </w:rPr>
              <w:t>/现场审核</w:t>
            </w:r>
          </w:p>
        </w:tc>
        <w:tc>
          <w:tcPr>
            <w:tcW w:w="711" w:type="dxa"/>
            <w:vAlign w:val="center"/>
          </w:tcPr>
          <w:p>
            <w:r>
              <w:t>男</w:t>
            </w:r>
          </w:p>
        </w:tc>
        <w:tc>
          <w:tcPr>
            <w:tcW w:w="3870" w:type="dxa"/>
            <w:vAlign w:val="center"/>
          </w:tcPr>
          <w:p>
            <w:r>
              <w:t>2020-N1QMS-2226478</w:t>
            </w:r>
          </w:p>
          <w:p>
            <w:r>
              <w:t>2020-N1EMS-2226478</w:t>
            </w:r>
          </w:p>
          <w:p>
            <w:r>
              <w:t>2020-N1OHSMS-2226478</w:t>
            </w:r>
          </w:p>
          <w:p>
            <w:r>
              <w:t>ISC-226478</w:t>
            </w:r>
          </w:p>
        </w:tc>
        <w:tc>
          <w:tcPr>
            <w:tcW w:w="2179" w:type="dxa"/>
            <w:vAlign w:val="center"/>
          </w:tcPr>
          <w:p>
            <w:r>
              <w:t>E:34.06.00</w:t>
            </w:r>
          </w:p>
          <w:p>
            <w:r>
              <w:t>O:34.06.00</w:t>
            </w:r>
          </w:p>
          <w:p>
            <w:r>
              <w:t>HSE:34A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姜海军</w:t>
            </w:r>
          </w:p>
        </w:tc>
        <w:tc>
          <w:tcPr>
            <w:tcW w:w="1089" w:type="dxa"/>
            <w:vAlign w:val="center"/>
          </w:tcPr>
          <w:p>
            <w:pPr>
              <w:rPr>
                <w:rFonts w:hint="default" w:eastAsia="宋体"/>
                <w:lang w:val="en-US" w:eastAsia="zh-CN"/>
              </w:rPr>
            </w:pPr>
            <w:r>
              <w:t>组员</w:t>
            </w:r>
            <w:r>
              <w:rPr>
                <w:rFonts w:hint="eastAsia"/>
                <w:lang w:val="en-US" w:eastAsia="zh-CN"/>
              </w:rPr>
              <w:t>/远程审核</w:t>
            </w:r>
          </w:p>
        </w:tc>
        <w:tc>
          <w:tcPr>
            <w:tcW w:w="711" w:type="dxa"/>
            <w:vAlign w:val="center"/>
          </w:tcPr>
          <w:p>
            <w:r>
              <w:t>男</w:t>
            </w:r>
          </w:p>
        </w:tc>
        <w:tc>
          <w:tcPr>
            <w:tcW w:w="3870" w:type="dxa"/>
            <w:vAlign w:val="center"/>
          </w:tcPr>
          <w:p>
            <w:r>
              <w:t>2022-N1QMS-4073544</w:t>
            </w:r>
          </w:p>
          <w:p>
            <w:r>
              <w:t>2020-N1EMS-3073544</w:t>
            </w:r>
          </w:p>
          <w:p>
            <w:r>
              <w:t>2020-N1OHSMS-3073544</w:t>
            </w:r>
          </w:p>
          <w:p>
            <w:r>
              <w:t>ISC-73544</w:t>
            </w:r>
          </w:p>
        </w:tc>
        <w:tc>
          <w:tcPr>
            <w:tcW w:w="2179" w:type="dxa"/>
            <w:vAlign w:val="center"/>
          </w:tcPr>
          <w:p>
            <w:r>
              <w:t>Q:34.06.00</w:t>
            </w:r>
          </w:p>
          <w:p>
            <w:r>
              <w:t>E:34.06.00</w:t>
            </w:r>
          </w:p>
          <w:p>
            <w:r>
              <w:t>O:34.06.00</w:t>
            </w:r>
          </w:p>
          <w:p>
            <w:r>
              <w:t>HSE:34A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r>
              <w:rPr>
                <w:rFonts w:hint="eastAsia"/>
                <w:lang w:val="en-US" w:eastAsia="zh-CN"/>
              </w:rPr>
              <w:t>/现场审核</w:t>
            </w:r>
          </w:p>
        </w:tc>
        <w:tc>
          <w:tcPr>
            <w:tcW w:w="711" w:type="dxa"/>
            <w:vAlign w:val="center"/>
          </w:tcPr>
          <w:p>
            <w:r>
              <w:t>男</w:t>
            </w:r>
          </w:p>
        </w:tc>
        <w:tc>
          <w:tcPr>
            <w:tcW w:w="3870" w:type="dxa"/>
            <w:vAlign w:val="center"/>
          </w:tcPr>
          <w:p>
            <w:r>
              <w:t>2021-N1QMS-4061496</w:t>
            </w:r>
          </w:p>
          <w:p>
            <w:r>
              <w:t>2021-N1EMS-4061496</w:t>
            </w:r>
          </w:p>
          <w:p>
            <w:r>
              <w:t>2020-N1OHSMS-3061496</w:t>
            </w:r>
          </w:p>
          <w:p>
            <w:r>
              <w:t>ISC-61496-HSE</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rPr>
            </w:pPr>
            <w:r>
              <w:rPr>
                <w:rFonts w:hint="eastAsia"/>
                <w:lang w:val="en-US" w:eastAsia="zh-CN"/>
              </w:rPr>
              <w:t>Q:</w:t>
            </w:r>
            <w:r>
              <w:rPr>
                <w:rFonts w:hint="eastAsia"/>
              </w:rPr>
              <w:t>安全咨询及安全系统监控服务</w:t>
            </w:r>
          </w:p>
          <w:p>
            <w:pPr>
              <w:rPr>
                <w:rFonts w:hint="eastAsia"/>
              </w:rPr>
            </w:pPr>
            <w:r>
              <w:rPr>
                <w:rFonts w:hint="eastAsia"/>
              </w:rPr>
              <w:t>变更为：安全咨询服务</w:t>
            </w:r>
          </w:p>
          <w:p>
            <w:pPr>
              <w:rPr>
                <w:rFonts w:hint="eastAsia"/>
              </w:rPr>
            </w:pPr>
            <w:r>
              <w:rPr>
                <w:rFonts w:hint="eastAsia"/>
                <w:lang w:val="en-US" w:eastAsia="zh-CN"/>
              </w:rPr>
              <w:t>E:</w:t>
            </w:r>
            <w:r>
              <w:rPr>
                <w:rFonts w:hint="eastAsia"/>
              </w:rPr>
              <w:t>安全咨询及安全系统监控服务所涉及场所的相关环境管理活动</w:t>
            </w:r>
          </w:p>
          <w:p>
            <w:pPr>
              <w:rPr>
                <w:rFonts w:hint="eastAsia"/>
              </w:rPr>
            </w:pPr>
            <w:r>
              <w:rPr>
                <w:rFonts w:hint="eastAsia"/>
              </w:rPr>
              <w:t>变更为：安全咨询服务所涉及场所的相关环境管理活动</w:t>
            </w:r>
          </w:p>
          <w:p>
            <w:pPr>
              <w:rPr>
                <w:rFonts w:hint="eastAsia"/>
              </w:rPr>
            </w:pPr>
            <w:r>
              <w:rPr>
                <w:rFonts w:hint="eastAsia"/>
                <w:lang w:val="en-US" w:eastAsia="zh-CN"/>
              </w:rPr>
              <w:t>O:</w:t>
            </w:r>
            <w:r>
              <w:rPr>
                <w:rFonts w:hint="eastAsia"/>
              </w:rPr>
              <w:t>安全咨询及安全系统监控服务所涉及场所的相关职业健康安全管理活动</w:t>
            </w:r>
          </w:p>
          <w:p>
            <w:r>
              <w:rPr>
                <w:rFonts w:hint="eastAsia"/>
              </w:rPr>
              <w:t>变更为：安全咨询服务所涉及场所的相关职业健康安全管理活动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r>
        <w:rPr>
          <w:rFonts w:hint="eastAsia"/>
        </w:rPr>
        <w:sym w:font="Wingdings 2" w:char="0052"/>
      </w:r>
      <w:r>
        <w:rPr>
          <w:rFonts w:hint="eastAsia"/>
          <w:lang w:val="en-US" w:eastAsia="zh-CN"/>
        </w:rPr>
        <w:t>HSE</w:t>
      </w:r>
      <w:r>
        <w:rPr>
          <w:rFonts w:hint="eastAsia"/>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default" w:eastAsia="宋体"/>
                <w:lang w:val="en-US" w:eastAsia="zh-CN"/>
              </w:rPr>
            </w:pPr>
            <w:r>
              <w:rPr>
                <w:rFonts w:hint="eastAsia"/>
                <w:lang w:val="en-US" w:eastAsia="zh-CN"/>
              </w:rPr>
              <w:t>HSE</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drawing>
                <wp:anchor distT="0" distB="0" distL="114300" distR="114300" simplePos="0" relativeHeight="251663360" behindDoc="0" locked="0" layoutInCell="1" allowOverlap="1">
                  <wp:simplePos x="0" y="0"/>
                  <wp:positionH relativeFrom="column">
                    <wp:posOffset>709930</wp:posOffset>
                  </wp:positionH>
                  <wp:positionV relativeFrom="paragraph">
                    <wp:posOffset>363220</wp:posOffset>
                  </wp:positionV>
                  <wp:extent cx="902335" cy="488315"/>
                  <wp:effectExtent l="0" t="0" r="12065" b="14605"/>
                  <wp:wrapNone/>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02335" cy="488315"/>
                          </a:xfrm>
                          <a:prstGeom prst="rect">
                            <a:avLst/>
                          </a:prstGeom>
                          <a:noFill/>
                          <a:ln w="9525">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34290</wp:posOffset>
                  </wp:positionH>
                  <wp:positionV relativeFrom="paragraph">
                    <wp:posOffset>56515</wp:posOffset>
                  </wp:positionV>
                  <wp:extent cx="524510" cy="280670"/>
                  <wp:effectExtent l="0" t="0" r="8890" b="8890"/>
                  <wp:wrapNone/>
                  <wp:docPr id="14"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49527f178761179e49e527589a9ef90"/>
                          <pic:cNvPicPr>
                            <a:picLocks noChangeAspect="1"/>
                          </pic:cNvPicPr>
                        </pic:nvPicPr>
                        <pic:blipFill>
                          <a:blip r:embed="rId7">
                            <a:biLevel thresh="75000"/>
                          </a:blip>
                          <a:stretch>
                            <a:fillRect/>
                          </a:stretch>
                        </pic:blipFill>
                        <pic:spPr>
                          <a:xfrm>
                            <a:off x="0" y="0"/>
                            <a:ext cx="524510" cy="280670"/>
                          </a:xfrm>
                          <a:prstGeom prst="rect">
                            <a:avLst/>
                          </a:prstGeom>
                        </pic:spPr>
                      </pic:pic>
                    </a:graphicData>
                  </a:graphic>
                </wp:anchor>
              </w:drawing>
            </w:r>
          </w:p>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:2022.6.28.</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napToGrid w:val="0"/>
              <w:spacing w:after="0" w:line="0" w:lineRule="atLeast"/>
              <w:rPr>
                <w:color w:val="000000" w:themeColor="text1"/>
                <w:szCs w:val="18"/>
                <w:u w:val="single"/>
              </w:rPr>
            </w:pPr>
            <w:r>
              <w:rPr>
                <w:rFonts w:hint="eastAsia"/>
                <w:color w:val="000000" w:themeColor="text1"/>
                <w:szCs w:val="18"/>
                <w:u w:val="single"/>
              </w:rPr>
              <w:t>以人为本  守法经营  和谐发展</w:t>
            </w:r>
            <w:r>
              <w:rPr>
                <w:rFonts w:hint="eastAsia"/>
                <w:color w:val="000000" w:themeColor="text1"/>
                <w:szCs w:val="18"/>
                <w:u w:val="single"/>
                <w:lang w:val="en-US" w:eastAsia="zh-CN"/>
              </w:rPr>
              <w:t xml:space="preserve">  </w:t>
            </w:r>
            <w:r>
              <w:rPr>
                <w:rFonts w:hint="eastAsia"/>
                <w:color w:val="000000" w:themeColor="text1"/>
                <w:szCs w:val="18"/>
                <w:u w:val="single"/>
              </w:rPr>
              <w:t>科学管理  求实创新  创建一流</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3"/>
                    <w:spacing w:line="240" w:lineRule="auto"/>
                    <w:rPr>
                      <w:rFonts w:hint="eastAsia"/>
                      <w:sz w:val="24"/>
                      <w:szCs w:val="24"/>
                    </w:rPr>
                  </w:pPr>
                  <w:r>
                    <w:rPr>
                      <w:rFonts w:hint="eastAsia"/>
                      <w:color w:val="000000" w:themeColor="text1"/>
                      <w:szCs w:val="21"/>
                    </w:rPr>
                    <w:t>重大质量安全环境事故</w:t>
                  </w:r>
                  <w:r>
                    <w:rPr>
                      <w:rFonts w:hint="eastAsia"/>
                      <w:sz w:val="24"/>
                      <w:szCs w:val="24"/>
                    </w:rPr>
                    <w:t>。</w:t>
                  </w:r>
                </w:p>
                <w:p>
                  <w:pPr>
                    <w:shd w:val="clear" w:color="auto" w:fill="C7DAF1" w:themeFill="text2" w:themeFillTint="32"/>
                  </w:pPr>
                </w:p>
              </w:tc>
              <w:tc>
                <w:tcPr>
                  <w:tcW w:w="3965" w:type="dxa"/>
                </w:tcPr>
                <w:p>
                  <w:pPr>
                    <w:spacing w:line="320" w:lineRule="exact"/>
                    <w:rPr>
                      <w:color w:val="000000" w:themeColor="text1"/>
                      <w:szCs w:val="21"/>
                    </w:rPr>
                  </w:pPr>
                  <w:r>
                    <w:rPr>
                      <w:rFonts w:hint="eastAsia"/>
                      <w:color w:val="000000" w:themeColor="text1"/>
                      <w:szCs w:val="21"/>
                    </w:rPr>
                    <w:t>1、建立和运行HSE管理体系</w:t>
                  </w:r>
                </w:p>
                <w:p>
                  <w:pPr>
                    <w:pStyle w:val="23"/>
                    <w:spacing w:line="240" w:lineRule="auto"/>
                    <w:rPr>
                      <w:rFonts w:hint="eastAsia"/>
                      <w:color w:val="000000" w:themeColor="text1"/>
                      <w:szCs w:val="21"/>
                    </w:rPr>
                  </w:pPr>
                  <w:r>
                    <w:rPr>
                      <w:rFonts w:hint="eastAsia"/>
                      <w:color w:val="000000" w:themeColor="text1"/>
                      <w:szCs w:val="21"/>
                    </w:rPr>
                    <w:t>2、制定管理体系目标予以控制</w:t>
                  </w:r>
                </w:p>
                <w:p>
                  <w:pPr>
                    <w:shd w:val="clear" w:color="auto" w:fill="C7DAF1" w:themeFill="text2" w:themeFillTint="32"/>
                  </w:pPr>
                </w:p>
              </w:tc>
              <w:tc>
                <w:tcPr>
                  <w:tcW w:w="1717" w:type="dxa"/>
                </w:tcPr>
                <w:p>
                  <w:pPr>
                    <w:shd w:val="clear" w:color="auto" w:fill="C7DAF1" w:themeFill="text2" w:themeFillTint="32"/>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540" w:lineRule="exact"/>
                    <w:ind w:firstLine="560" w:firstLineChars="200"/>
                  </w:pPr>
                  <w:r>
                    <w:rPr>
                      <w:rFonts w:hint="eastAsia" w:ascii="仿宋" w:hAnsi="仿宋" w:eastAsia="仿宋" w:cs="仿宋"/>
                      <w:sz w:val="28"/>
                      <w:szCs w:val="28"/>
                    </w:rPr>
                    <w:t>1. 顾客满意度95%以上；</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数据统计</w:t>
                  </w:r>
                </w:p>
              </w:tc>
              <w:tc>
                <w:tcPr>
                  <w:tcW w:w="1350" w:type="dxa"/>
                  <w:shd w:val="clear" w:color="auto" w:fill="auto"/>
                  <w:vAlign w:val="center"/>
                </w:tcPr>
                <w:p>
                  <w:pPr>
                    <w:shd w:val="clear" w:color="auto" w:fill="C7DAF1" w:themeFill="text2" w:themeFillTint="32"/>
                    <w:rPr>
                      <w:lang w:val="en-GB"/>
                    </w:rPr>
                  </w:pPr>
                  <w:r>
                    <w:rPr>
                      <w:rFonts w:hint="eastAsia"/>
                      <w:color w:val="000000" w:themeColor="text1"/>
                      <w:szCs w:val="21"/>
                      <w:lang w:val="en-US" w:eastAsia="zh-CN"/>
                    </w:rPr>
                    <w:t xml:space="preserve">市场部 </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color w:val="000000" w:themeColor="text1"/>
                      <w:szCs w:val="21"/>
                      <w:lang w:val="en-US"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line="540" w:lineRule="exact"/>
                    <w:ind w:firstLine="560" w:firstLineChars="200"/>
                  </w:pPr>
                  <w:r>
                    <w:rPr>
                      <w:rFonts w:hint="eastAsia" w:ascii="仿宋" w:hAnsi="仿宋" w:eastAsia="仿宋" w:cs="仿宋"/>
                      <w:sz w:val="28"/>
                      <w:szCs w:val="28"/>
                    </w:rPr>
                    <w:t>2．合同履约率100%；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ascii="宋体" w:hAnsi="宋体"/>
                    </w:rPr>
                  </w:pPr>
                  <w:r>
                    <w:rPr>
                      <w:rFonts w:hint="eastAsia"/>
                      <w:color w:val="000000" w:themeColor="text1"/>
                      <w:szCs w:val="21"/>
                      <w:lang w:val="en-US" w:eastAsia="zh-CN"/>
                    </w:rPr>
                    <w:t xml:space="preserve">市场部 </w:t>
                  </w:r>
                </w:p>
              </w:tc>
              <w:tc>
                <w:tcPr>
                  <w:tcW w:w="1774" w:type="dxa"/>
                  <w:shd w:val="clear" w:color="auto" w:fill="auto"/>
                  <w:vAlign w:val="center"/>
                </w:tcPr>
                <w:p>
                  <w:pPr>
                    <w:shd w:val="clear" w:color="auto" w:fill="C7DAF1" w:themeFill="text2" w:themeFillTint="32"/>
                    <w:jc w:val="center"/>
                    <w:rPr>
                      <w:rFonts w:ascii="宋体" w:hAnsi="宋体"/>
                    </w:rPr>
                  </w:pPr>
                  <w:r>
                    <w:rPr>
                      <w:rFonts w:hint="eastAsia"/>
                      <w:color w:val="000000" w:themeColor="text1"/>
                      <w:szCs w:val="21"/>
                      <w:lang w:val="en-US"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sz w:val="24"/>
                <w:szCs w:val="24"/>
                <w:lang w:val="en-US" w:eastAsia="zh-CN"/>
              </w:rPr>
              <w:t>空调、电脑、激光一体机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sz w:val="24"/>
                <w:szCs w:val="24"/>
                <w:lang w:val="en-US" w:eastAsia="zh-CN"/>
              </w:rPr>
              <w:t>主要的监视测量工具为4合一报警仪，防爆手机、激光测距仪等（均为受审查企业提供）；</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rFonts w:hint="default" w:eastAsia="宋体"/>
                <w:lang w:val="en-US" w:eastAsia="zh-CN"/>
              </w:rPr>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总公司支持</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不适用</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ascii="方正仿宋简体" w:eastAsia="方正仿宋简体" w:cs="Times New Roman"/>
                <w:b/>
                <w:lang w:val="en-US" w:eastAsia="zh-CN"/>
              </w:rPr>
              <w:t>《危险化学品重大危险源辨识GB18218-2018》《高毒物品名录》《使用有毒物品作业场所劳动保护条例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A3"/>
            </w:r>
            <w:r>
              <w:rPr>
                <w:rFonts w:hint="eastAsia"/>
              </w:rPr>
              <w:t>检测计划</w:t>
            </w:r>
            <w:r>
              <w:rPr>
                <w:rFonts w:hint="eastAsia" w:ascii="Wingdings" w:hAnsi="Wingdings"/>
                <w:lang w:eastAsia="zh-CN"/>
              </w:rPr>
              <w:sym w:font="Wingdings 2" w:char="00A3"/>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highlight w:val="none"/>
              </w:rPr>
            </w:pPr>
            <w:r>
              <w:rPr>
                <w:rFonts w:hint="eastAsia"/>
                <w:highlight w:val="none"/>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highlight w:val="none"/>
              </w:rPr>
            </w:pPr>
            <w:r>
              <w:rPr>
                <w:rFonts w:hint="eastAsia"/>
                <w:highlight w:val="none"/>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highlight w:val="none"/>
              </w:rPr>
              <w:t>组织在生产和</w:t>
            </w:r>
            <w:r>
              <w:rPr>
                <w:rFonts w:hint="eastAsia"/>
              </w:rPr>
              <w:t>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记录表格</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组织应满足与产</w:t>
            </w:r>
            <w:r>
              <w:rPr>
                <w:rFonts w:hint="eastAsia"/>
              </w:rPr>
              <w:t>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合同约定</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组织在适当阶段实</w:t>
            </w:r>
            <w:r>
              <w:rPr>
                <w:rFonts w:hint="eastAsia"/>
              </w:rPr>
              <w:t>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整改单及整改验收资料。</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21-22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napToGrid w:val="0"/>
              <w:spacing w:line="300" w:lineRule="auto"/>
              <w:jc w:val="center"/>
              <w:rPr>
                <w:rFonts w:ascii="仿宋_GB2312" w:hAnsi="宋体" w:eastAsia="仿宋_GB2312"/>
                <w:b/>
                <w:bCs/>
                <w:sz w:val="28"/>
                <w:szCs w:val="28"/>
              </w:rPr>
            </w:pPr>
            <w:r>
              <w:rPr>
                <w:rFonts w:hint="eastAsia" w:ascii="仿宋_GB2312" w:hAnsi="宋体" w:eastAsia="仿宋_GB2312"/>
                <w:b/>
                <w:bCs/>
                <w:sz w:val="28"/>
                <w:szCs w:val="28"/>
              </w:rPr>
              <w:t>以人为本  守法经营  和谐发展</w:t>
            </w:r>
          </w:p>
          <w:p>
            <w:pPr>
              <w:snapToGrid w:val="0"/>
              <w:spacing w:line="300" w:lineRule="auto"/>
              <w:jc w:val="center"/>
              <w:rPr>
                <w:rFonts w:ascii="仿宋_GB2312" w:eastAsia="仿宋_GB2312"/>
                <w:b/>
                <w:sz w:val="32"/>
                <w:szCs w:val="32"/>
              </w:rPr>
            </w:pPr>
            <w:r>
              <w:rPr>
                <w:rFonts w:hint="eastAsia" w:ascii="仿宋_GB2312" w:hAnsi="宋体" w:eastAsia="仿宋_GB2312"/>
                <w:b/>
                <w:bCs/>
                <w:sz w:val="28"/>
                <w:szCs w:val="28"/>
              </w:rPr>
              <w:t>科学管理  求实创新  创建一流</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技术部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rFonts w:hint="eastAsia"/>
                    </w:rPr>
                  </w:pPr>
                  <w:r>
                    <w:rPr>
                      <w:rFonts w:hint="eastAsia"/>
                    </w:rPr>
                    <w:t>重大质量安全环境事故。</w:t>
                  </w:r>
                </w:p>
                <w:p>
                  <w:pPr>
                    <w:shd w:val="clear" w:color="auto" w:fill="EBF1DE" w:themeFill="accent3" w:themeFillTint="32"/>
                  </w:pPr>
                  <w:r>
                    <w:rPr>
                      <w:rFonts w:hint="eastAsia"/>
                    </w:rPr>
                    <w:tab/>
                  </w:r>
                </w:p>
              </w:tc>
              <w:tc>
                <w:tcPr>
                  <w:tcW w:w="3965" w:type="dxa"/>
                </w:tcPr>
                <w:p>
                  <w:pPr>
                    <w:shd w:val="clear" w:color="auto" w:fill="EBF1DE" w:themeFill="accent3" w:themeFillTint="32"/>
                    <w:rPr>
                      <w:rFonts w:hint="eastAsia"/>
                    </w:rPr>
                  </w:pPr>
                  <w:r>
                    <w:rPr>
                      <w:rFonts w:hint="eastAsia"/>
                    </w:rPr>
                    <w:t>1、建立和运行HSE管理体系</w:t>
                  </w:r>
                </w:p>
                <w:p>
                  <w:pPr>
                    <w:shd w:val="clear" w:color="auto" w:fill="EBF1DE" w:themeFill="accent3" w:themeFillTint="32"/>
                  </w:pPr>
                  <w:r>
                    <w:rPr>
                      <w:rFonts w:hint="eastAsia"/>
                    </w:rPr>
                    <w:t>2、制定管理体系目标予以控制</w:t>
                  </w:r>
                </w:p>
              </w:tc>
              <w:tc>
                <w:tcPr>
                  <w:tcW w:w="1717" w:type="dxa"/>
                </w:tcPr>
                <w:p>
                  <w:pPr>
                    <w:shd w:val="clear" w:color="auto" w:fill="EBF1DE" w:themeFill="accent3" w:themeFillTint="32"/>
                  </w:pPr>
                  <w:r>
                    <w:rPr>
                      <w:rFonts w:hint="eastAsia"/>
                    </w:rPr>
                    <w:tab/>
                  </w: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4.杜绝环境污染事故发生；</w:t>
                  </w:r>
                </w:p>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管理方案、运行控制</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w:t>
            </w:r>
            <w:r>
              <w:rPr>
                <w:rFonts w:hint="eastAsia"/>
              </w:rPr>
              <w:t>平方米；生产车间个；库房个；实验室个；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同质量表格</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报警仪（顾客财产）</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rPr>
              <w:sym w:font="Wingdings 2" w:char="0052"/>
            </w:r>
            <w:r>
              <w:rPr>
                <w:rFonts w:hint="eastAsia"/>
              </w:rPr>
              <w:t>法律法规获取有遗漏，缺少：《危险化学品重大危险源辨识GB18218-2018》《高毒物品名录》《使用有毒物品作业场所劳动保护条例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办公用品</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highlight w:val="none"/>
              </w:rPr>
              <w:t>组织的生产和服务提供流程图（见第三条款）</w:t>
            </w:r>
            <w:r>
              <w:rPr>
                <w:rFonts w:hint="eastAsia"/>
              </w:rPr>
              <w:t>，企业环境因素控制情况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管理方案/运行控制</w:t>
                  </w:r>
                </w:p>
              </w:tc>
              <w:tc>
                <w:tcPr>
                  <w:tcW w:w="3265" w:type="dxa"/>
                </w:tcPr>
                <w:p>
                  <w:pPr>
                    <w:shd w:val="clear" w:color="auto" w:fill="EBF1DE" w:themeFill="accent3" w:themeFillTint="32"/>
                    <w:jc w:val="left"/>
                  </w:pPr>
                  <w:r>
                    <w:rPr>
                      <w:rFonts w:hint="eastAsia" w:ascii="楷体" w:hAnsi="楷体" w:eastAsia="楷体" w:cs="楷体"/>
                      <w:sz w:val="24"/>
                      <w:szCs w:val="24"/>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管理方案/运行控制/应急预案</w:t>
                  </w:r>
                </w:p>
              </w:tc>
              <w:tc>
                <w:tcPr>
                  <w:tcW w:w="3265" w:type="dxa"/>
                </w:tcPr>
                <w:p>
                  <w:pPr>
                    <w:shd w:val="clear" w:color="auto" w:fill="EBF1DE" w:themeFill="accent3" w:themeFillTint="32"/>
                    <w:jc w:val="left"/>
                  </w:pPr>
                  <w:r>
                    <w:rPr>
                      <w:rFonts w:hint="eastAsia" w:ascii="楷体" w:hAnsi="楷体" w:eastAsia="楷体" w:cs="楷体"/>
                      <w:sz w:val="24"/>
                      <w:szCs w:val="24"/>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rPr>
              <w:t>、</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21-22</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napToGrid w:val="0"/>
              <w:spacing w:line="300" w:lineRule="auto"/>
              <w:jc w:val="center"/>
              <w:rPr>
                <w:rFonts w:ascii="仿宋_GB2312" w:hAnsi="宋体" w:eastAsia="仿宋_GB2312"/>
                <w:b/>
                <w:bCs/>
                <w:sz w:val="28"/>
                <w:szCs w:val="28"/>
              </w:rPr>
            </w:pPr>
            <w:r>
              <w:rPr>
                <w:rFonts w:hint="eastAsia" w:ascii="仿宋_GB2312" w:hAnsi="宋体" w:eastAsia="仿宋_GB2312"/>
                <w:b/>
                <w:bCs/>
                <w:sz w:val="28"/>
                <w:szCs w:val="28"/>
              </w:rPr>
              <w:t>以人为本  守法经营  和谐发展</w:t>
            </w:r>
          </w:p>
          <w:p>
            <w:pPr>
              <w:snapToGrid w:val="0"/>
              <w:spacing w:line="300" w:lineRule="auto"/>
              <w:jc w:val="center"/>
              <w:rPr>
                <w:rFonts w:ascii="仿宋_GB2312" w:eastAsia="仿宋_GB2312"/>
                <w:b/>
                <w:sz w:val="32"/>
                <w:szCs w:val="32"/>
              </w:rPr>
            </w:pPr>
            <w:r>
              <w:rPr>
                <w:rFonts w:hint="eastAsia" w:ascii="仿宋_GB2312" w:hAnsi="宋体" w:eastAsia="仿宋_GB2312"/>
                <w:b/>
                <w:bCs/>
                <w:sz w:val="28"/>
                <w:szCs w:val="28"/>
              </w:rPr>
              <w:t>科学管理  求实创新  创建一流</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综合管理部</w:t>
            </w:r>
          </w:p>
          <w:p>
            <w:pPr>
              <w:rPr>
                <w:rFonts w:hint="eastAsia" w:eastAsia="宋体"/>
                <w:lang w:val="en-US" w:eastAsia="zh-CN"/>
              </w:rPr>
            </w:pPr>
            <w:r>
              <w:rPr>
                <w:rFonts w:hint="eastAsia"/>
              </w:rPr>
              <w:t>安全的主管部门是——</w:t>
            </w:r>
            <w:r>
              <w:rPr>
                <w:rFonts w:hint="eastAsia"/>
                <w:lang w:val="en-US" w:eastAsia="zh-CN"/>
              </w:rPr>
              <w:t>管理层</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周建光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color w:val="000000" w:themeColor="text1"/>
                      <w:szCs w:val="21"/>
                    </w:rPr>
                    <w:t>重大质量安全环境事故</w:t>
                  </w:r>
                </w:p>
              </w:tc>
              <w:tc>
                <w:tcPr>
                  <w:tcW w:w="3965" w:type="dxa"/>
                </w:tcPr>
                <w:p>
                  <w:pPr>
                    <w:spacing w:line="320" w:lineRule="exact"/>
                    <w:rPr>
                      <w:color w:val="000000" w:themeColor="text1"/>
                      <w:szCs w:val="21"/>
                    </w:rPr>
                  </w:pPr>
                  <w:r>
                    <w:rPr>
                      <w:rFonts w:hint="eastAsia"/>
                      <w:color w:val="000000" w:themeColor="text1"/>
                      <w:szCs w:val="21"/>
                    </w:rPr>
                    <w:t>1、建立和运行HSE管理体系</w:t>
                  </w:r>
                </w:p>
                <w:p>
                  <w:pPr>
                    <w:pStyle w:val="23"/>
                    <w:spacing w:line="240" w:lineRule="auto"/>
                    <w:rPr>
                      <w:rFonts w:hint="eastAsia"/>
                      <w:color w:val="000000" w:themeColor="text1"/>
                      <w:szCs w:val="21"/>
                    </w:rPr>
                  </w:pPr>
                  <w:r>
                    <w:rPr>
                      <w:rFonts w:hint="eastAsia"/>
                      <w:color w:val="000000" w:themeColor="text1"/>
                      <w:szCs w:val="21"/>
                    </w:rPr>
                    <w:t>2、制定管理体系目标予以控制</w:t>
                  </w:r>
                </w:p>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highlight w:val="none"/>
              </w:rPr>
              <w:t>不可接受危险源包括(必要时，按</w:t>
            </w:r>
            <w:r>
              <w:rPr>
                <w:rFonts w:hint="eastAsia"/>
              </w:rPr>
              <w:t>每个场所来描述):（不必全选）</w:t>
            </w:r>
          </w:p>
          <w:p>
            <w:pPr>
              <w:spacing w:before="40" w:after="40"/>
              <w:rPr>
                <w:highlight w:val="cyan"/>
              </w:rPr>
            </w:pPr>
            <w:r>
              <w:rPr>
                <w:rFonts w:hint="eastAsia"/>
              </w:rPr>
              <w:t>□机械伤害□触电</w:t>
            </w:r>
            <w:r>
              <w:rPr>
                <w:rFonts w:hint="eastAsia"/>
              </w:rPr>
              <w:sym w:font="Wingdings 2" w:char="00A3"/>
            </w:r>
            <w:r>
              <w:rPr>
                <w:rFonts w:hint="eastAsia"/>
              </w:rPr>
              <w:t>化学伤害□噪声□粉尘□危险作业□高低温</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highlight w:val="none"/>
              </w:rPr>
              <w:t>组织策划并采取措施应对职业健康安</w:t>
            </w:r>
            <w:r>
              <w:rPr>
                <w:rFonts w:hint="eastAsia"/>
              </w:rPr>
              <w:t>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highlight w:val="none"/>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3.杜绝人身伤害和健康损害事件发生；</w:t>
                  </w:r>
                </w:p>
                <w:p/>
              </w:tc>
              <w:tc>
                <w:tcPr>
                  <w:tcW w:w="3136" w:type="dxa"/>
                  <w:shd w:val="clear" w:color="auto" w:fill="auto"/>
                  <w:vAlign w:val="center"/>
                </w:tcPr>
                <w:p>
                  <w:pPr>
                    <w:spacing w:line="360" w:lineRule="auto"/>
                    <w:ind w:firstLine="468"/>
                    <w:rPr>
                      <w:rFonts w:ascii="楷体" w:hAnsi="楷体" w:eastAsia="楷体" w:cs="楷体"/>
                      <w:sz w:val="24"/>
                      <w:szCs w:val="24"/>
                    </w:rPr>
                  </w:pPr>
                  <w:r>
                    <w:rPr>
                      <w:rFonts w:hint="eastAsia" w:ascii="楷体" w:hAnsi="楷体" w:eastAsia="楷体" w:cs="楷体"/>
                      <w:sz w:val="24"/>
                      <w:szCs w:val="24"/>
                    </w:rPr>
                    <w:t>执行管理方案、配备消防器材、个体防护、日常检查、培训教育、应急预案等运行控制措施。</w:t>
                  </w:r>
                </w:p>
                <w:p>
                  <w:pPr>
                    <w:rPr>
                      <w:lang w:val="en-GB"/>
                    </w:rPr>
                  </w:pP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5.重视卫生防疫，关心员工健康，职业病发生率为0；</w:t>
                  </w:r>
                </w:p>
                <w:p/>
              </w:tc>
              <w:tc>
                <w:tcPr>
                  <w:tcW w:w="3136" w:type="dxa"/>
                  <w:shd w:val="clear" w:color="auto" w:fill="auto"/>
                  <w:vAlign w:val="center"/>
                </w:tcPr>
                <w:p>
                  <w:pPr>
                    <w:spacing w:line="360" w:lineRule="auto"/>
                    <w:ind w:firstLine="468"/>
                    <w:rPr>
                      <w:rFonts w:ascii="楷体" w:hAnsi="楷体" w:eastAsia="楷体" w:cs="楷体"/>
                      <w:sz w:val="24"/>
                      <w:szCs w:val="24"/>
                    </w:rPr>
                  </w:pPr>
                  <w:r>
                    <w:rPr>
                      <w:rFonts w:hint="eastAsia" w:ascii="楷体" w:hAnsi="楷体" w:eastAsia="楷体" w:cs="楷体"/>
                      <w:sz w:val="24"/>
                      <w:szCs w:val="24"/>
                    </w:rPr>
                    <w:t>执行管理方案、配备消防器材、个体防护、日常检查、培训教育、应急预案等运行控制措施。</w:t>
                  </w:r>
                </w:p>
                <w:p>
                  <w:pPr>
                    <w:rPr>
                      <w:rFonts w:ascii="宋体" w:hAnsi="宋体"/>
                    </w:rPr>
                  </w:pPr>
                </w:p>
              </w:tc>
              <w:tc>
                <w:tcPr>
                  <w:tcW w:w="1350" w:type="dxa"/>
                  <w:shd w:val="clear" w:color="auto" w:fill="auto"/>
                  <w:vAlign w:val="center"/>
                </w:tcPr>
                <w:p>
                  <w:pPr>
                    <w:rPr>
                      <w:rFonts w:ascii="宋体" w:hAnsi="宋体"/>
                    </w:rPr>
                  </w:pPr>
                  <w:r>
                    <w:rPr>
                      <w:rFonts w:hint="eastAsia"/>
                      <w:color w:val="000000" w:themeColor="text1"/>
                      <w:szCs w:val="22"/>
                      <w:lang w:val="en-US" w:eastAsia="zh-CN"/>
                    </w:rPr>
                    <w:t xml:space="preserve">综合管理部 </w:t>
                  </w:r>
                </w:p>
              </w:tc>
              <w:tc>
                <w:tcPr>
                  <w:tcW w:w="1774" w:type="dxa"/>
                  <w:shd w:val="clear" w:color="auto" w:fill="auto"/>
                  <w:vAlign w:val="center"/>
                </w:tcPr>
                <w:p>
                  <w:pPr>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6.员工HSE教育面100%。</w:t>
                  </w:r>
                </w:p>
                <w:p/>
              </w:tc>
              <w:tc>
                <w:tcPr>
                  <w:tcW w:w="3136" w:type="dxa"/>
                  <w:shd w:val="clear" w:color="auto" w:fill="auto"/>
                  <w:vAlign w:val="center"/>
                </w:tcPr>
                <w:p>
                  <w:pPr>
                    <w:rPr>
                      <w:rFonts w:ascii="宋体" w:hAnsi="宋体"/>
                    </w:rPr>
                  </w:pPr>
                  <w:r>
                    <w:rPr>
                      <w:rFonts w:hint="eastAsia" w:ascii="楷体" w:hAnsi="楷体" w:eastAsia="楷体" w:cs="楷体"/>
                      <w:sz w:val="24"/>
                      <w:szCs w:val="24"/>
                    </w:rPr>
                    <w:t>培训教育</w:t>
                  </w:r>
                </w:p>
              </w:tc>
              <w:tc>
                <w:tcPr>
                  <w:tcW w:w="1350" w:type="dxa"/>
                  <w:shd w:val="clear" w:color="auto" w:fill="auto"/>
                  <w:vAlign w:val="center"/>
                </w:tcPr>
                <w:p>
                  <w:pPr>
                    <w:rPr>
                      <w:rFonts w:ascii="宋体" w:hAnsi="宋体"/>
                    </w:rPr>
                  </w:pPr>
                  <w:r>
                    <w:rPr>
                      <w:rFonts w:hint="eastAsia"/>
                      <w:color w:val="000000" w:themeColor="text1"/>
                      <w:szCs w:val="22"/>
                      <w:lang w:val="en-US" w:eastAsia="zh-CN"/>
                    </w:rPr>
                    <w:t xml:space="preserve">综合管理部 </w:t>
                  </w:r>
                </w:p>
              </w:tc>
              <w:tc>
                <w:tcPr>
                  <w:tcW w:w="1774" w:type="dxa"/>
                  <w:shd w:val="clear" w:color="auto" w:fill="auto"/>
                  <w:vAlign w:val="center"/>
                </w:tcPr>
                <w:p>
                  <w:pPr>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300</w:t>
            </w:r>
            <w:r>
              <w:rPr>
                <w:rFonts w:hint="eastAsia"/>
              </w:rPr>
              <w:t>平方米；生产车间个；库房个；实验室个；</w:t>
            </w:r>
          </w:p>
          <w:p>
            <w:pPr>
              <w:rPr>
                <w:rFonts w:hint="eastAsia" w:eastAsia="宋体"/>
                <w:u w:val="single"/>
                <w:lang w:eastAsia="zh-CN"/>
              </w:rPr>
            </w:pPr>
            <w:r>
              <w:rPr>
                <w:rFonts w:hint="eastAsia"/>
              </w:rPr>
              <w:t>主要生产设备有：</w:t>
            </w:r>
            <w:r>
              <w:rPr>
                <w:rFonts w:hint="eastAsia"/>
                <w:u w:val="single"/>
                <w:lang w:val="en-US" w:eastAsia="zh-CN"/>
              </w:rPr>
              <w:t>灭火器</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rPr>
                <w:rFonts w:hint="default" w:eastAsia="宋体"/>
                <w:lang w:val="en-US" w:eastAsia="zh-CN"/>
              </w:rPr>
            </w:pPr>
            <w:r>
              <w:rPr>
                <w:rFonts w:hint="eastAsia"/>
              </w:rPr>
              <w:t>职业健康安全监测的计量器具有：</w:t>
            </w:r>
            <w:r>
              <w:rPr>
                <w:rFonts w:hint="eastAsia"/>
                <w:lang w:val="en-US" w:eastAsia="zh-CN"/>
              </w:rPr>
              <w:t>4合一报警仪（顾客财产）</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A3"/>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r>
              <w:rPr>
                <w:rFonts w:hint="eastAsia"/>
              </w:rPr>
              <w:t>对环境相关的外来文件（法律法规、产品标准）进行了识别和贯彻。</w:t>
            </w:r>
          </w:p>
          <w:p>
            <w:r>
              <w:rPr>
                <w:rFonts w:hint="eastAsia"/>
              </w:rPr>
              <w:t>□法律法规获取充分，</w:t>
            </w:r>
            <w:r>
              <w:rPr>
                <w:rFonts w:hint="eastAsia"/>
              </w:rPr>
              <w:sym w:font="Wingdings 2" w:char="0052"/>
            </w:r>
            <w:r>
              <w:rPr>
                <w:rFonts w:hint="eastAsia"/>
              </w:rPr>
              <w:t>法律法规获取有遗漏，缺少：《危险化学品重大危险源辨识GB18218-2018》《高毒物品名录》《使用有毒物品作业场所劳动保护条例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highlight w:val="none"/>
              </w:rPr>
              <w:t>组织的生产和服务提供流程图（</w:t>
            </w:r>
            <w:r>
              <w:rPr>
                <w:rFonts w:hint="eastAsia"/>
              </w:rPr>
              <w:t>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w:t>
                  </w:r>
                  <w:r>
                    <w:rPr>
                      <w:rFonts w:hint="eastAsia"/>
                    </w:rPr>
                    <w:sym w:font="Wingdings 2" w:char="0052"/>
                  </w:r>
                  <w:r>
                    <w:rPr>
                      <w:rFonts w:hint="eastAsia"/>
                    </w:rPr>
                    <w:t>压力巡视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楷体" w:hAnsi="楷体" w:eastAsia="楷体" w:cs="楷体"/>
                      <w:sz w:val="24"/>
                      <w:szCs w:val="24"/>
                    </w:rPr>
                    <w:t>执行管理方案、配备消防器材、应急预案</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highlight w:val="none"/>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10-20</w:t>
            </w:r>
            <w:bookmarkStart w:id="34" w:name="_GoBack"/>
            <w:bookmarkEnd w:id="34"/>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21-22</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45284C"/>
    <w:rsid w:val="0045284C"/>
    <w:rsid w:val="00533ED4"/>
    <w:rsid w:val="00553E7D"/>
    <w:rsid w:val="00864C52"/>
    <w:rsid w:val="032C010E"/>
    <w:rsid w:val="035F520D"/>
    <w:rsid w:val="039C4536"/>
    <w:rsid w:val="03A42EEB"/>
    <w:rsid w:val="03A90A1B"/>
    <w:rsid w:val="04F13ACC"/>
    <w:rsid w:val="05450A82"/>
    <w:rsid w:val="07267E44"/>
    <w:rsid w:val="089C2B17"/>
    <w:rsid w:val="08A67A43"/>
    <w:rsid w:val="0AB6271F"/>
    <w:rsid w:val="0CB85138"/>
    <w:rsid w:val="0D1C412E"/>
    <w:rsid w:val="0DD268B0"/>
    <w:rsid w:val="10CC2F54"/>
    <w:rsid w:val="12ED3B3F"/>
    <w:rsid w:val="13833F28"/>
    <w:rsid w:val="1460396C"/>
    <w:rsid w:val="149F2FE4"/>
    <w:rsid w:val="14B34A58"/>
    <w:rsid w:val="14C13559"/>
    <w:rsid w:val="16642577"/>
    <w:rsid w:val="18CD7AB4"/>
    <w:rsid w:val="1DA90758"/>
    <w:rsid w:val="1DFC0351"/>
    <w:rsid w:val="1F777037"/>
    <w:rsid w:val="1FF87100"/>
    <w:rsid w:val="214240D1"/>
    <w:rsid w:val="220A6F0C"/>
    <w:rsid w:val="237139BE"/>
    <w:rsid w:val="23FA61BA"/>
    <w:rsid w:val="24F320B3"/>
    <w:rsid w:val="281F4944"/>
    <w:rsid w:val="28754419"/>
    <w:rsid w:val="2CF76864"/>
    <w:rsid w:val="2D0747BD"/>
    <w:rsid w:val="2E3E709D"/>
    <w:rsid w:val="2EAC7F9E"/>
    <w:rsid w:val="2EC03168"/>
    <w:rsid w:val="2EF977F6"/>
    <w:rsid w:val="2FB9562E"/>
    <w:rsid w:val="316E1210"/>
    <w:rsid w:val="321A1995"/>
    <w:rsid w:val="32697B53"/>
    <w:rsid w:val="32955728"/>
    <w:rsid w:val="336942A5"/>
    <w:rsid w:val="34B800A1"/>
    <w:rsid w:val="350C61C3"/>
    <w:rsid w:val="3CC24C5A"/>
    <w:rsid w:val="3D7A386A"/>
    <w:rsid w:val="3F853963"/>
    <w:rsid w:val="40356427"/>
    <w:rsid w:val="40682BEA"/>
    <w:rsid w:val="40B06B49"/>
    <w:rsid w:val="419263E1"/>
    <w:rsid w:val="41AF659B"/>
    <w:rsid w:val="41F941AD"/>
    <w:rsid w:val="43204A60"/>
    <w:rsid w:val="44995516"/>
    <w:rsid w:val="48A96D19"/>
    <w:rsid w:val="4A5641F4"/>
    <w:rsid w:val="4AAD644B"/>
    <w:rsid w:val="4B893233"/>
    <w:rsid w:val="4BB63F8F"/>
    <w:rsid w:val="4D245974"/>
    <w:rsid w:val="4F693DE7"/>
    <w:rsid w:val="4FD640A7"/>
    <w:rsid w:val="523F4210"/>
    <w:rsid w:val="53633F19"/>
    <w:rsid w:val="537D4800"/>
    <w:rsid w:val="53C27B7A"/>
    <w:rsid w:val="54163C3D"/>
    <w:rsid w:val="54426C68"/>
    <w:rsid w:val="555C7B5A"/>
    <w:rsid w:val="56602112"/>
    <w:rsid w:val="568A089C"/>
    <w:rsid w:val="572D6041"/>
    <w:rsid w:val="57522DF5"/>
    <w:rsid w:val="57633422"/>
    <w:rsid w:val="585A3413"/>
    <w:rsid w:val="58C351D3"/>
    <w:rsid w:val="5A543364"/>
    <w:rsid w:val="5AD403E9"/>
    <w:rsid w:val="5CB8160D"/>
    <w:rsid w:val="5ED03ED6"/>
    <w:rsid w:val="604B0E79"/>
    <w:rsid w:val="61EF4E23"/>
    <w:rsid w:val="624B198A"/>
    <w:rsid w:val="62CE653B"/>
    <w:rsid w:val="65470149"/>
    <w:rsid w:val="67552454"/>
    <w:rsid w:val="68D02C0E"/>
    <w:rsid w:val="68FB6A31"/>
    <w:rsid w:val="69583ACA"/>
    <w:rsid w:val="69AC028D"/>
    <w:rsid w:val="6A9A6AD6"/>
    <w:rsid w:val="6C2936F3"/>
    <w:rsid w:val="6C5D5BE3"/>
    <w:rsid w:val="6C717C85"/>
    <w:rsid w:val="6D853DB6"/>
    <w:rsid w:val="6D9731AA"/>
    <w:rsid w:val="6D9D4DBB"/>
    <w:rsid w:val="6E7C60CD"/>
    <w:rsid w:val="6F671741"/>
    <w:rsid w:val="715E2BED"/>
    <w:rsid w:val="75965ECD"/>
    <w:rsid w:val="76C11F52"/>
    <w:rsid w:val="7975144E"/>
    <w:rsid w:val="79D412DB"/>
    <w:rsid w:val="7A2B68B1"/>
    <w:rsid w:val="7B8276EE"/>
    <w:rsid w:val="7C765821"/>
    <w:rsid w:val="7C890259"/>
    <w:rsid w:val="7DD65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24"/>
      <w:szCs w:val="24"/>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19822</Words>
  <Characters>20910</Characters>
  <Lines>1117</Lines>
  <Paragraphs>1368</Paragraphs>
  <TotalTime>1</TotalTime>
  <ScaleCrop>false</ScaleCrop>
  <LinksUpToDate>false</LinksUpToDate>
  <CharactersWithSpaces>21075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2022-07-01T10:34:10Z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