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-744855</wp:posOffset>
            </wp:positionH>
            <wp:positionV relativeFrom="paragraph">
              <wp:posOffset>-920115</wp:posOffset>
            </wp:positionV>
            <wp:extent cx="7336155" cy="10422255"/>
            <wp:effectExtent l="0" t="0" r="4445" b="4445"/>
            <wp:wrapNone/>
            <wp:docPr id="1" name="图片 1" descr="6834f524a5451d886943ad595021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34f524a5451d886943ad595021b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6155" cy="1042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0266-2020-2022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陕西宏基混凝土构件有限责任公司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受审核部门: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生产经营部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卢爱庆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  编号：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12631003 电子汽车衡，未见确认标识。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GB/T19022-2003标准 </w:t>
            </w:r>
            <w:r>
              <w:rPr>
                <w:rFonts w:hint="eastAsia"/>
                <w:u w:val="single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条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立刻对该计量器件的标识状态进行确认，举一反三避免类似发生。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1460CE"/>
    <w:rsid w:val="1E0D2A04"/>
    <w:rsid w:val="58152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2022-06-23T07:44:16Z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AC0C335AD56E4169AC4A6772B13726E9</vt:lpwstr>
  </property>
</Properties>
</file>