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81"/>
        <w:gridCol w:w="1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四川强劲工矿机械有限公司</w:t>
            </w:r>
          </w:p>
        </w:tc>
        <w:tc>
          <w:tcPr>
            <w:tcW w:w="157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26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E:14.01.02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E:14.01.02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马加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236220</wp:posOffset>
                  </wp:positionV>
                  <wp:extent cx="5191125" cy="2311400"/>
                  <wp:effectExtent l="0" t="0" r="3175" b="0"/>
                  <wp:wrapTight wrapText="bothSides">
                    <wp:wrapPolygon>
                      <wp:start x="0" y="0"/>
                      <wp:lineTo x="0" y="21481"/>
                      <wp:lineTo x="21560" y="21481"/>
                      <wp:lineTo x="21560" y="0"/>
                      <wp:lineTo x="0" y="0"/>
                    </wp:wrapPolygon>
                  </wp:wrapTight>
                  <wp:docPr id="1" name="图片 1" descr="工艺流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工艺流程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25" cy="23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噪声：减震、隔音、防护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危废：与有资质的回收单位签订回收协议；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四川省环境污染防治条例、突发环境事件调查处理办法、突发环境事件应急管理办法、建设项目环境保护管理条例、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四川省建设项目环境保护条例、排污许可管理办法、污染源自动监控管理办法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环境标准管理办法、危险废物转移联单管理办法、城市生活垃圾管理办法、大气污染综合排放标准等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提供了检测报告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85725</wp:posOffset>
                  </wp:positionV>
                  <wp:extent cx="641350" cy="304800"/>
                  <wp:effectExtent l="0" t="0" r="6350" b="0"/>
                  <wp:wrapSquare wrapText="bothSides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136525</wp:posOffset>
                  </wp:positionV>
                  <wp:extent cx="641350" cy="304800"/>
                  <wp:effectExtent l="0" t="0" r="6350" b="0"/>
                  <wp:wrapSquare wrapText="bothSides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48"/>
        <w:gridCol w:w="15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四川强劲工矿机械有限公司</w:t>
            </w:r>
          </w:p>
        </w:tc>
        <w:tc>
          <w:tcPr>
            <w:tcW w:w="153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5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O:14.01.02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O:14.01.02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马加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312420</wp:posOffset>
                  </wp:positionV>
                  <wp:extent cx="5191125" cy="2311400"/>
                  <wp:effectExtent l="0" t="0" r="3175" b="0"/>
                  <wp:wrapTight wrapText="bothSides">
                    <wp:wrapPolygon>
                      <wp:start x="0" y="0"/>
                      <wp:lineTo x="0" y="21481"/>
                      <wp:lineTo x="21560" y="21481"/>
                      <wp:lineTo x="21560" y="0"/>
                      <wp:lineTo x="0" y="0"/>
                    </wp:wrapPolygon>
                  </wp:wrapTight>
                  <wp:docPr id="4" name="图片 4" descr="工艺流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工艺流程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25" cy="23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一级风险：交通事故、触电、机械伤害等，制定了管理措施和应急预案进行控制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color w:val="auto"/>
                <w:lang w:val="en-US" w:eastAsia="zh-CN"/>
              </w:rPr>
              <w:t>四川省劳动保护条例、四川省突发公共事件总体应急预案、四川省安全生产事故灾难应急预案、生产安全事故应急预案管理办法等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-475615</wp:posOffset>
                  </wp:positionV>
                  <wp:extent cx="641350" cy="304800"/>
                  <wp:effectExtent l="0" t="0" r="6350" b="0"/>
                  <wp:wrapSquare wrapText="bothSides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3"/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80"/>
        <w:gridCol w:w="15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四川强劲工矿机械有限公司</w:t>
            </w:r>
            <w:bookmarkEnd w:id="0"/>
          </w:p>
        </w:tc>
        <w:tc>
          <w:tcPr>
            <w:tcW w:w="157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2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EnMS:2.3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EnMS:2.3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179070</wp:posOffset>
                  </wp:positionV>
                  <wp:extent cx="4965065" cy="2368550"/>
                  <wp:effectExtent l="0" t="0" r="635" b="6350"/>
                  <wp:wrapSquare wrapText="bothSides"/>
                  <wp:docPr id="3" name="图片 3" descr="工艺流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工艺流程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065" cy="236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主要能源使用：电力、天然气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主要能源参数；综合能耗tce、单位产品能耗kgce/万个、单位产值能耗kgce/万元；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1、《中华人民共和国电力法》2、《中华人民共和国节约能源法》3、《中华人民共和国清洁生产法》4、《中华人民共和国可再生能源法》5、《国家重点节能技术推广目录（1-6 批）》6、《企业节能量计算方法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8》7、《企业能量平衡统计方法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nstrText xml:space="preserve"> HYPERLINK "http://www.csres.com/detail/56381.html" \h </w:instrTex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GB/T 16614-1996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》8、《企业能量平衡表编制方法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nstrText xml:space="preserve"> HYPERLINK "http://www.csres.com/detail/227580.html" \h </w:instrTex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GB/T 28751-2012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》9、企业能源平衡通则（GB3484-2009）10、节能监测技术通则（GB/T15316-2009）11、电力变压器经济运行（GB13462-2008）12、用能单位能源计量器具配备与管理通则（GB/T17167-2006）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-447040</wp:posOffset>
                  </wp:positionV>
                  <wp:extent cx="641350" cy="304800"/>
                  <wp:effectExtent l="0" t="0" r="6350" b="0"/>
                  <wp:wrapSquare wrapText="bothSides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165100</wp:posOffset>
                  </wp:positionV>
                  <wp:extent cx="641350" cy="304800"/>
                  <wp:effectExtent l="0" t="0" r="6350" b="0"/>
                  <wp:wrapSquare wrapText="bothSides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1" w:name="_GoBack"/>
      <w:bookmarkEnd w:id="1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D6A6EC7"/>
    <w:rsid w:val="3BF824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2022-06-30T07:27:41Z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2052-11.1.0.11435</vt:lpwstr>
  </property>
</Properties>
</file>