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0804-2022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148"/>
        <w:gridCol w:w="1222"/>
        <w:gridCol w:w="1037"/>
        <w:gridCol w:w="1894"/>
        <w:gridCol w:w="1457"/>
        <w:gridCol w:w="1329"/>
        <w:gridCol w:w="1028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8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大庆油田利达实业有限公司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/管理编号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#0003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3㎜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山东深东华计量检测技术有限公司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5m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1m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标准钢卷尺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(0.03~0.03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2022.4.24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数字万用表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#0002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ZTW0111B</w:t>
            </w:r>
          </w:p>
        </w:tc>
        <w:tc>
          <w:tcPr>
            <w:tcW w:w="1894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直流电压：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200mV～1000V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=0.02%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交</w:t>
            </w:r>
            <w:r>
              <w:rPr>
                <w:rFonts w:asciiTheme="minorEastAsia" w:hAnsiTheme="minorEastAsia"/>
                <w:color w:val="auto"/>
                <w:sz w:val="15"/>
                <w:szCs w:val="15"/>
              </w:rPr>
              <w:t>流电压：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200mV～750V 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=0.04%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  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交流电流：200uA～10A</w:t>
            </w:r>
          </w:p>
          <w:p>
            <w:pPr>
              <w:jc w:val="left"/>
              <w:rPr>
                <w:rFonts w:asciiTheme="minorEastAsia" w:hAnsiTheme="minorEastAsia"/>
                <w:color w:val="auto"/>
                <w:sz w:val="15"/>
                <w:szCs w:val="15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=1.2%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 </w:t>
            </w:r>
          </w:p>
          <w:p>
            <w:pPr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电阻：200Ω-200MΩ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U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  <m:t>rel</m:t>
                  </m:r>
                  <m:ctrlPr>
                    <w:rPr>
                      <w:rFonts w:ascii="Cambria Math" w:hAnsi="Cambria Math"/>
                      <w:color w:val="auto"/>
                      <w:sz w:val="15"/>
                      <w:szCs w:val="15"/>
                    </w:rPr>
                  </m:ctrlPr>
                </m:sub>
              </m:sSub>
            </m:oMath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=0.007%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 xml:space="preserve"> 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多功能校准源：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DCV: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-5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DCI: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=1.8×10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-3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R：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=5×10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-4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山东深东华计量检测技术有限公司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2022.2.28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24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HD204513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4㎜</w:t>
            </w:r>
          </w:p>
        </w:tc>
        <w:tc>
          <w:tcPr>
            <w:tcW w:w="14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量块4等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2022.2.6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bookmarkStart w:id="2" w:name="_GoBack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山东深东华计量检测技术有限公司及大庆油田计量检定测试所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inline distT="0" distB="0" distL="114300" distR="114300">
                  <wp:extent cx="449580" cy="304800"/>
                  <wp:effectExtent l="0" t="0" r="7620" b="0"/>
                  <wp:docPr id="2" name="图片 2" descr="3bce578ca51c9dbe654ee47bdfd4a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bce578ca51c9dbe654ee47bdfd4ad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55B628E"/>
    <w:rsid w:val="39806922"/>
    <w:rsid w:val="50023BE0"/>
    <w:rsid w:val="63287B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507</Words>
  <Characters>731</Characters>
  <Lines>3</Lines>
  <Paragraphs>1</Paragraphs>
  <TotalTime>2</TotalTime>
  <ScaleCrop>false</ScaleCrop>
  <LinksUpToDate>false</LinksUpToDate>
  <CharactersWithSpaces>776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2022-06-13T07:35:07Z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3FC3F19715EF4ACF8D60C589F8FDC866</vt:lpwstr>
  </property>
</Properties>
</file>