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华润雪花啤酒（四川）有限责任公司新都分公司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0768-2022-EnMs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四川省成都市新都工业东区星光路108号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李崇明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四川省成都市新都工业东区星光路108号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肖小梅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13680696298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13680696298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啤酒生产所涉及的能源管理活动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2022.6.25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制造部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4.2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2022.6.30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2001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2022-06-30T07:35:06Z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