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华润雪花啤酒（四川）有限责任公司新都分公司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ind w:firstLine="402" w:firstLineChars="2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-6090920</wp:posOffset>
                  </wp:positionV>
                  <wp:extent cx="5085715" cy="6576695"/>
                  <wp:effectExtent l="0" t="0" r="6985" b="1905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5715" cy="657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主要能源使用：水、电、蒸汽</w:t>
            </w:r>
            <w:bookmarkStart w:id="1" w:name="_GoBack"/>
            <w:bookmarkEnd w:id="1"/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主要能源参数：综合能耗tce、单位产品能耗kgce/t、单位产值能耗kgce/万元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1、《中华人民共和国电力法》2、《中华人民共和国节约能源法》3、《中华人民共和国清洁生产法》4、《中华人民共和国可再生能源法》5、《国家重点节能技术推广目录（1-6 批）》6、《企业节能量计算方法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8》7、《企业能量平衡统计方法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"http://www.csres.com/detail/56381.html"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16614-1996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》8、《企业能量平衡表编制方法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"http://www.csres.com/detail/227580.html"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28751-2012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》9、企业能源平衡通则（GB3484-2009）10、节能监测技术通则（GB/T15316-2009）11、电力变压器经济运行（GB13462-2008）12、用能单位能源计量器具配备与管理通则（GB/T17167-2006）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啤酒酿造、生产过程中能耗的其他知识；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193675</wp:posOffset>
                  </wp:positionV>
                  <wp:extent cx="647700" cy="317500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92463F1"/>
    <w:rsid w:val="56711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2022-06-28T01:09:59Z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