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0563-2021-QO-2022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四川良翔健康管理服务有限公司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四川良翔健康管理服务有限公司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成都市武侯区聚龙路1251号1幢8层803号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四川省金堂县米家巷上岛8栋129号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文仁发</w:t>
            </w:r>
            <w:bookmarkEnd w:id="13"/>
          </w:p>
        </w:tc>
        <w:tc>
          <w:tcPr>
            <w:tcW w:w="1313" w:type="dxa"/>
            <w:vAlign w:val="center"/>
          </w:tcPr>
          <w:p>
            <w:r>
              <w:rPr>
                <w:rFonts w:hint="eastAsia"/>
              </w:rPr>
              <w:t>管理者代表</w:t>
            </w:r>
          </w:p>
        </w:tc>
        <w:tc>
          <w:tcPr>
            <w:tcW w:w="2180" w:type="dxa"/>
          </w:tcPr>
          <w:p>
            <w:bookmarkStart w:id="14" w:name="管理者代表"/>
            <w:r>
              <w:t>文仁发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sz w:val="20"/>
              </w:rPr>
              <w:t>服务过程：客户需求→协议签订→病人护理→服务完成→满意度调查。</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2022年06月18日 上午至2022年06月18日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四川省金堂县米家巷上岛8栋129号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Q：病人陪护服务（不含诊疗）</w:t>
            </w:r>
          </w:p>
          <w:p>
            <w:r>
              <w:t>O：病人陪护服务（不含诊疗）所涉及场所的相关职业健康安全管理活动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Q：38.04.00</w:t>
            </w:r>
          </w:p>
          <w:p>
            <w:r>
              <w:t>O：38.04.00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成都市武侯区聚龙路1251号1幢8层803号</w:t>
            </w:r>
          </w:p>
        </w:tc>
        <w:tc>
          <w:tcPr>
            <w:tcW w:w="2267" w:type="dxa"/>
          </w:tcPr>
          <w:p>
            <w:pPr>
              <w:rPr>
                <w:rFonts w:hint="eastAsia"/>
                <w:lang w:eastAsia="zh-CN"/>
              </w:rPr>
            </w:pPr>
            <w:r>
              <w:rPr>
                <w:rFonts w:hint="eastAsia"/>
              </w:rPr>
              <w:t>经营场所的地址</w:t>
            </w:r>
            <w:r>
              <w:rPr>
                <w:rFonts w:hint="eastAsia"/>
                <w:lang w:eastAsia="zh-CN"/>
              </w:rPr>
              <w:t>：</w:t>
            </w:r>
          </w:p>
          <w:p>
            <w:r>
              <w:t>四川省金堂县米家巷上岛8栋129号</w:t>
            </w:r>
          </w:p>
          <w:p>
            <w:pPr>
              <w:pStyle w:val="13"/>
              <w:rPr>
                <w:rFonts w:hint="eastAsia" w:eastAsia="宋体"/>
                <w:lang w:val="de-DE" w:eastAsia="zh-CN"/>
              </w:rPr>
            </w:pPr>
            <w:r>
              <w:rPr>
                <w:rFonts w:hint="eastAsia"/>
              </w:rPr>
              <w:t>临时现场</w:t>
            </w:r>
            <w:r>
              <w:rPr>
                <w:rFonts w:hint="eastAsia"/>
                <w:lang w:eastAsia="zh-CN"/>
              </w:rPr>
              <w:t>：</w:t>
            </w:r>
            <w:r>
              <w:rPr>
                <w:rFonts w:hint="eastAsia"/>
                <w:color w:val="000000"/>
                <w:lang w:val="en-US" w:eastAsia="zh-CN"/>
              </w:rPr>
              <w:t>成都市妇女儿童中心医院金堂分院</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sz w:val="20"/>
              </w:rPr>
              <w:t>Q：病人陪护服务（不含诊疗）</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成都市武侯区聚龙路1251号1幢8层803号</w:t>
            </w:r>
          </w:p>
        </w:tc>
        <w:tc>
          <w:tcPr>
            <w:tcW w:w="2267" w:type="dxa"/>
            <w:vAlign w:val="center"/>
          </w:tcPr>
          <w:p>
            <w:pPr>
              <w:rPr>
                <w:rFonts w:hint="eastAsia"/>
                <w:lang w:eastAsia="zh-CN"/>
              </w:rPr>
            </w:pPr>
            <w:r>
              <w:rPr>
                <w:rFonts w:hint="eastAsia"/>
              </w:rPr>
              <w:t>经营场所的地址</w:t>
            </w:r>
            <w:r>
              <w:rPr>
                <w:rFonts w:hint="eastAsia"/>
                <w:lang w:eastAsia="zh-CN"/>
              </w:rPr>
              <w:t>：</w:t>
            </w:r>
          </w:p>
          <w:p>
            <w:r>
              <w:t>四川省金堂县米家巷上岛8栋129号</w:t>
            </w:r>
          </w:p>
          <w:p>
            <w:pPr>
              <w:rPr>
                <w:lang w:eastAsia="ja-JP"/>
              </w:rPr>
            </w:pPr>
            <w:r>
              <w:rPr>
                <w:rFonts w:hint="eastAsia"/>
              </w:rPr>
              <w:t>临时现场</w:t>
            </w:r>
            <w:r>
              <w:rPr>
                <w:rFonts w:hint="eastAsia"/>
                <w:lang w:eastAsia="zh-CN"/>
              </w:rPr>
              <w:t>：</w:t>
            </w:r>
            <w:r>
              <w:rPr>
                <w:rFonts w:hint="eastAsia"/>
                <w:color w:val="000000"/>
                <w:lang w:val="en-US" w:eastAsia="zh-CN"/>
              </w:rPr>
              <w:t>成都市妇女儿童中心医院金堂分院</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sz w:val="20"/>
              </w:rPr>
              <w:t>O：病人陪护服务（不含诊疗）所涉及场所的相关职业健康安全管理活动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焦渝</w:t>
            </w:r>
          </w:p>
        </w:tc>
        <w:tc>
          <w:tcPr>
            <w:tcW w:w="1089" w:type="dxa"/>
            <w:vAlign w:val="center"/>
          </w:tcPr>
          <w:p>
            <w:r>
              <w:t>组员</w:t>
            </w:r>
          </w:p>
        </w:tc>
        <w:tc>
          <w:tcPr>
            <w:tcW w:w="711" w:type="dxa"/>
            <w:vAlign w:val="center"/>
          </w:tcPr>
          <w:p>
            <w:r>
              <w:t>男</w:t>
            </w:r>
          </w:p>
        </w:tc>
        <w:tc>
          <w:tcPr>
            <w:tcW w:w="3870" w:type="dxa"/>
            <w:vAlign w:val="center"/>
          </w:tcPr>
          <w:p>
            <w:r>
              <w:t>ISC-JSZJ-328</w:t>
            </w:r>
          </w:p>
          <w:p>
            <w:r>
              <w:t>ISC-JSZJ-328</w:t>
            </w:r>
          </w:p>
          <w:p>
            <w:r>
              <w:t>成都欣怡健康护理有限公司</w:t>
            </w:r>
          </w:p>
        </w:tc>
        <w:tc>
          <w:tcPr>
            <w:tcW w:w="2179" w:type="dxa"/>
            <w:vAlign w:val="center"/>
          </w:tcPr>
          <w:p>
            <w:r>
              <w:t>Q:38.04.00</w:t>
            </w:r>
          </w:p>
          <w:p>
            <w:r>
              <w:t>O:38.04.00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lang w:val="en-US" w:eastAsia="zh-CN" w:bidi="ar-SA"/>
              </w:rPr>
              <w:t>上一次不符合验证：</w:t>
            </w:r>
            <w:r>
              <w:rPr>
                <w:rFonts w:hint="eastAsia" w:ascii="Times New Roman" w:hAnsi="Times New Roman" w:cs="Times New Roman"/>
                <w:color w:val="auto"/>
                <w:kern w:val="2"/>
                <w:sz w:val="21"/>
                <w:szCs w:val="22"/>
                <w:lang w:val="en-US" w:eastAsia="zh-CN" w:bidi="ar-SA"/>
              </w:rPr>
              <w:t>上次不符合为行政部Q7.2，本次审核未出现同类情况发生。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4"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163830</wp:posOffset>
                  </wp:positionH>
                  <wp:positionV relativeFrom="paragraph">
                    <wp:posOffset>114300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最高管理者制定了文件化的管理体系方针：</w:t>
            </w:r>
            <w:r>
              <w:rPr>
                <w:rFonts w:hint="eastAsia"/>
                <w:lang w:eastAsia="zh-CN"/>
              </w:rPr>
              <w:t>“精益求精 创“良翔”新优势”</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97"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服务合格率96%；</w:t>
                  </w:r>
                </w:p>
              </w:tc>
              <w:tc>
                <w:tcPr>
                  <w:tcW w:w="3255"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rPr>
                    <w:t>服务合格数/服务总数*100%</w:t>
                  </w:r>
                </w:p>
              </w:tc>
              <w:tc>
                <w:tcPr>
                  <w:tcW w:w="1080"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lang w:val="en-GB" w:eastAsia="zh-CN"/>
                    </w:rPr>
                    <w:t>业务部</w:t>
                  </w:r>
                </w:p>
              </w:tc>
              <w:tc>
                <w:tcPr>
                  <w:tcW w:w="1519"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97"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安全质量事故为0</w:t>
                  </w:r>
                </w:p>
              </w:tc>
              <w:tc>
                <w:tcPr>
                  <w:tcW w:w="3255"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安全质量总次数</w:t>
                  </w:r>
                </w:p>
              </w:tc>
              <w:tc>
                <w:tcPr>
                  <w:tcW w:w="1080" w:type="dxa"/>
                  <w:shd w:val="clear" w:color="auto" w:fill="auto"/>
                  <w:vAlign w:val="center"/>
                </w:tcPr>
                <w:p>
                  <w:pPr>
                    <w:shd w:val="clear" w:color="auto" w:fill="C7DAF1" w:themeFill="text2" w:themeFillTint="32"/>
                    <w:rPr>
                      <w:rFonts w:hint="eastAsia" w:ascii="宋体" w:hAnsi="宋体"/>
                      <w:lang w:eastAsia="zh-CN"/>
                    </w:rPr>
                  </w:pPr>
                  <w:r>
                    <w:rPr>
                      <w:rFonts w:hint="eastAsia" w:ascii="宋体" w:hAnsi="宋体"/>
                      <w:lang w:eastAsia="zh-CN"/>
                    </w:rPr>
                    <w:t>业务部</w:t>
                  </w:r>
                </w:p>
              </w:tc>
              <w:tc>
                <w:tcPr>
                  <w:tcW w:w="1519"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顾客满意率≥90%</w:t>
                  </w:r>
                </w:p>
              </w:tc>
              <w:tc>
                <w:tcPr>
                  <w:tcW w:w="3255"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满意得分和/总调查数*100%</w:t>
                  </w:r>
                </w:p>
              </w:tc>
              <w:tc>
                <w:tcPr>
                  <w:tcW w:w="1080" w:type="dxa"/>
                  <w:shd w:val="clear" w:color="auto" w:fill="auto"/>
                  <w:vAlign w:val="center"/>
                </w:tcPr>
                <w:p>
                  <w:pPr>
                    <w:shd w:val="clear" w:color="auto" w:fill="C7DAF1" w:themeFill="text2" w:themeFillTint="32"/>
                    <w:rPr>
                      <w:rFonts w:hint="eastAsia" w:ascii="宋体" w:hAnsi="宋体"/>
                      <w:lang w:eastAsia="zh-CN"/>
                    </w:rPr>
                  </w:pPr>
                  <w:r>
                    <w:rPr>
                      <w:rFonts w:hint="eastAsia" w:ascii="宋体" w:hAnsi="宋体"/>
                      <w:lang w:eastAsia="zh-CN"/>
                    </w:rPr>
                    <w:t>业务部</w:t>
                  </w:r>
                </w:p>
              </w:tc>
              <w:tc>
                <w:tcPr>
                  <w:tcW w:w="1519"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kern w:val="0"/>
                <w:szCs w:val="21"/>
                <w:u w:val="single"/>
                <w:lang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w:t>
            </w:r>
            <w:r>
              <w:rPr>
                <w:rFonts w:hint="eastAsia" w:ascii="Times New Roman" w:hAnsi="Times New Roman" w:eastAsia="宋体" w:cs="Times New Roman"/>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restart"/>
                </w:tcPr>
                <w:p>
                  <w:pPr>
                    <w:shd w:val="clear" w:color="auto" w:fill="C7DAF1" w:themeFill="text2" w:themeFillTint="32"/>
                    <w:jc w:val="left"/>
                    <w:rPr>
                      <w:rFonts w:hint="eastAsia" w:eastAsia="宋体"/>
                      <w:lang w:eastAsia="zh-CN"/>
                    </w:rPr>
                  </w:pPr>
                  <w:r>
                    <w:rPr>
                      <w:rFonts w:hint="eastAsia"/>
                      <w:lang w:eastAsia="zh-CN"/>
                    </w:rPr>
                    <w:t>病人陪护服务（不含诊疗）</w:t>
                  </w:r>
                </w:p>
              </w:tc>
              <w:tc>
                <w:tcPr>
                  <w:tcW w:w="1095" w:type="dxa"/>
                </w:tcPr>
                <w:p>
                  <w:pPr>
                    <w:shd w:val="clear" w:color="auto" w:fill="C7DAF1" w:themeFill="text2" w:themeFillTint="32"/>
                    <w:jc w:val="left"/>
                    <w:rPr>
                      <w:rFonts w:hint="default" w:eastAsia="宋体"/>
                      <w:lang w:val="en-US" w:eastAsia="zh-CN"/>
                    </w:rPr>
                  </w:pPr>
                  <w:r>
                    <w:rPr>
                      <w:rFonts w:hint="eastAsia"/>
                      <w:lang w:val="en-US" w:eastAsia="zh-CN"/>
                    </w:rPr>
                    <w:t>服务过程</w:t>
                  </w:r>
                </w:p>
              </w:tc>
              <w:tc>
                <w:tcPr>
                  <w:tcW w:w="4140" w:type="dxa"/>
                </w:tcPr>
                <w:p>
                  <w:pPr>
                    <w:shd w:val="clear" w:color="auto" w:fill="C7DAF1" w:themeFill="text2" w:themeFillTint="32"/>
                    <w:jc w:val="left"/>
                    <w:rPr>
                      <w:rFonts w:hint="default" w:eastAsia="宋体"/>
                      <w:lang w:val="en-US" w:eastAsia="zh-CN"/>
                    </w:rPr>
                  </w:pPr>
                  <w:r>
                    <w:rPr>
                      <w:rFonts w:hint="eastAsia"/>
                      <w:lang w:val="en-US" w:eastAsia="zh-CN"/>
                    </w:rPr>
                    <w:t>服务态度等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continue"/>
                </w:tcPr>
                <w:p>
                  <w:pPr>
                    <w:shd w:val="clear" w:color="auto" w:fill="C7DAF1" w:themeFill="text2" w:themeFillTint="32"/>
                    <w:jc w:val="left"/>
                  </w:pPr>
                </w:p>
              </w:tc>
              <w:tc>
                <w:tcPr>
                  <w:tcW w:w="1095" w:type="dxa"/>
                </w:tcPr>
                <w:p>
                  <w:pPr>
                    <w:shd w:val="clear" w:color="auto" w:fill="C7DAF1" w:themeFill="text2" w:themeFillTint="32"/>
                    <w:jc w:val="left"/>
                    <w:rPr>
                      <w:rFonts w:hint="eastAsia" w:eastAsia="宋体"/>
                      <w:lang w:eastAsia="zh-CN"/>
                    </w:rPr>
                  </w:pPr>
                </w:p>
              </w:tc>
              <w:tc>
                <w:tcPr>
                  <w:tcW w:w="4140" w:type="dxa"/>
                </w:tcPr>
                <w:p>
                  <w:pPr>
                    <w:shd w:val="clear" w:color="auto" w:fill="C7DAF1" w:themeFill="text2" w:themeFillTint="32"/>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pPr>
                </w:p>
              </w:tc>
              <w:tc>
                <w:tcPr>
                  <w:tcW w:w="4140"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w:t>
            </w:r>
            <w:r>
              <w:rPr>
                <w:rFonts w:hint="eastAsia"/>
                <w:color w:val="auto"/>
              </w:rPr>
              <w:t>过程：服务过程，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2022年4月22-23日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eastAsia="zh-CN"/>
              </w:rPr>
            </w:pPr>
            <w:r>
              <w:rPr>
                <w:rFonts w:hint="eastAsia"/>
              </w:rPr>
              <w:t>最高管理者制定了文件化的职业健康安全管理体系方针：</w:t>
            </w:r>
            <w:r>
              <w:rPr>
                <w:rFonts w:hint="eastAsia"/>
                <w:lang w:eastAsia="zh-CN"/>
              </w:rPr>
              <w:t>“</w:t>
            </w:r>
            <w:r>
              <w:rPr>
                <w:rFonts w:hint="eastAsia"/>
              </w:rPr>
              <w:t>保障健康、安全服务、以人为本、永续发展、遵守法规、持续改进</w:t>
            </w:r>
            <w:r>
              <w:rPr>
                <w:rFonts w:hint="eastAsia"/>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行政人事部</w:t>
            </w:r>
          </w:p>
          <w:p>
            <w:r>
              <w:rPr>
                <w:rFonts w:hint="eastAsia"/>
              </w:rPr>
              <w:t>安全的主管部门是——</w:t>
            </w:r>
            <w:r>
              <w:rPr>
                <w:rFonts w:hint="eastAsia"/>
                <w:lang w:eastAsia="zh-CN"/>
              </w:rPr>
              <w:t>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蒋清华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服务过程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制定服务过程手册、安全措施并严格执行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2"/>
              <w:gridCol w:w="2577"/>
              <w:gridCol w:w="115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2" w:type="dxa"/>
                  <w:shd w:val="clear" w:color="auto" w:fill="auto"/>
                </w:tcPr>
                <w:p>
                  <w:pPr>
                    <w:rPr>
                      <w:rFonts w:ascii="宋体" w:hAnsi="宋体"/>
                    </w:rPr>
                  </w:pPr>
                  <w:r>
                    <w:rPr>
                      <w:rFonts w:hint="eastAsia"/>
                    </w:rPr>
                    <w:t>职业健康安全</w:t>
                  </w:r>
                  <w:r>
                    <w:rPr>
                      <w:rFonts w:hint="eastAsia" w:ascii="宋体" w:hAnsi="宋体"/>
                    </w:rPr>
                    <w:t>目标</w:t>
                  </w:r>
                </w:p>
              </w:tc>
              <w:tc>
                <w:tcPr>
                  <w:tcW w:w="2577" w:type="dxa"/>
                  <w:shd w:val="clear" w:color="auto" w:fill="auto"/>
                </w:tcPr>
                <w:p>
                  <w:pPr>
                    <w:rPr>
                      <w:rFonts w:ascii="宋体" w:hAnsi="宋体"/>
                    </w:rPr>
                  </w:pPr>
                  <w:r>
                    <w:rPr>
                      <w:rFonts w:hint="eastAsia" w:ascii="宋体" w:hAnsi="宋体"/>
                    </w:rPr>
                    <w:t>控制措施</w:t>
                  </w:r>
                </w:p>
              </w:tc>
              <w:tc>
                <w:tcPr>
                  <w:tcW w:w="1159" w:type="dxa"/>
                  <w:shd w:val="clear" w:color="auto" w:fill="auto"/>
                </w:tcPr>
                <w:p>
                  <w:pPr>
                    <w:rPr>
                      <w:rFonts w:ascii="宋体" w:hAnsi="宋体"/>
                    </w:rPr>
                  </w:pPr>
                  <w:r>
                    <w:rPr>
                      <w:rFonts w:hint="eastAsia" w:ascii="宋体" w:hAnsi="宋体"/>
                    </w:rPr>
                    <w:t>责任部门</w:t>
                  </w:r>
                </w:p>
              </w:tc>
              <w:tc>
                <w:tcPr>
                  <w:tcW w:w="1653"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2" w:type="dxa"/>
                  <w:shd w:val="clear" w:color="auto" w:fill="auto"/>
                  <w:vAlign w:val="center"/>
                </w:tcPr>
                <w:p>
                  <w:pPr>
                    <w:rPr>
                      <w:rFonts w:hint="eastAsia"/>
                      <w:lang w:val="en-US" w:eastAsia="zh-CN"/>
                    </w:rPr>
                  </w:pPr>
                  <w:r>
                    <w:rPr>
                      <w:rFonts w:hint="eastAsia"/>
                    </w:rPr>
                    <w:t>重大安全事故和伤亡事故为0</w:t>
                  </w:r>
                </w:p>
              </w:tc>
              <w:tc>
                <w:tcPr>
                  <w:tcW w:w="2577" w:type="dxa"/>
                  <w:shd w:val="clear" w:color="auto" w:fill="auto"/>
                  <w:vAlign w:val="top"/>
                </w:tcPr>
                <w:p>
                  <w:pPr>
                    <w:rPr>
                      <w:rFonts w:hint="default"/>
                      <w:lang w:val="en-GB" w:eastAsia="zh-CN"/>
                    </w:rPr>
                  </w:pPr>
                  <w:r>
                    <w:rPr>
                      <w:rFonts w:hint="eastAsia"/>
                      <w:lang w:val="en-US" w:eastAsia="zh-CN"/>
                    </w:rPr>
                    <w:t>安全管理方案</w:t>
                  </w:r>
                </w:p>
              </w:tc>
              <w:tc>
                <w:tcPr>
                  <w:tcW w:w="1159" w:type="dxa"/>
                  <w:shd w:val="clear" w:color="auto" w:fill="auto"/>
                  <w:vAlign w:val="center"/>
                </w:tcPr>
                <w:p>
                  <w:pPr>
                    <w:rPr>
                      <w:rFonts w:hint="eastAsia"/>
                      <w:lang w:val="en-GB" w:eastAsia="zh-CN"/>
                    </w:rPr>
                  </w:pPr>
                  <w:r>
                    <w:rPr>
                      <w:rFonts w:hint="eastAsia"/>
                      <w:lang w:val="en-GB" w:eastAsia="zh-CN"/>
                    </w:rPr>
                    <w:t>业务部</w:t>
                  </w:r>
                </w:p>
              </w:tc>
              <w:tc>
                <w:tcPr>
                  <w:tcW w:w="1653" w:type="dxa"/>
                  <w:shd w:val="clear" w:color="auto" w:fill="auto"/>
                  <w:vAlign w:val="top"/>
                </w:tcPr>
                <w:p>
                  <w:pPr>
                    <w:rPr>
                      <w:rFonts w:hint="eastAsia"/>
                      <w:lang w:val="en-GB"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2"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火灾事故为0</w:t>
                  </w:r>
                </w:p>
              </w:tc>
              <w:tc>
                <w:tcPr>
                  <w:tcW w:w="2577"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火灾预防、火灾应急预案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GB" w:eastAsia="zh-CN" w:bidi="ar-SA"/>
                    </w:rPr>
                    <w:t>业务部</w:t>
                  </w:r>
                </w:p>
              </w:tc>
              <w:tc>
                <w:tcPr>
                  <w:tcW w:w="1653"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2"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职业病发生为0</w:t>
                  </w:r>
                </w:p>
              </w:tc>
              <w:tc>
                <w:tcPr>
                  <w:tcW w:w="2577"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职业病管理方案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GB" w:eastAsia="zh-CN" w:bidi="ar-SA"/>
                    </w:rPr>
                    <w:t>业务部</w:t>
                  </w:r>
                </w:p>
              </w:tc>
              <w:tc>
                <w:tcPr>
                  <w:tcW w:w="1653" w:type="dxa"/>
                  <w:shd w:val="clear" w:color="auto" w:fill="auto"/>
                  <w:vAlign w:val="center"/>
                </w:tcPr>
                <w:p>
                  <w:pPr>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2" w:type="dxa"/>
                  <w:shd w:val="clear" w:color="auto" w:fill="auto"/>
                </w:tcPr>
                <w:p/>
              </w:tc>
              <w:tc>
                <w:tcPr>
                  <w:tcW w:w="257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2" w:type="dxa"/>
                  <w:shd w:val="clear" w:color="auto" w:fill="auto"/>
                </w:tcPr>
                <w:p/>
              </w:tc>
              <w:tc>
                <w:tcPr>
                  <w:tcW w:w="257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宋体"/>
                <w:u w:val="single"/>
                <w:lang w:val="en-US" w:eastAsia="zh-CN"/>
              </w:rPr>
            </w:pPr>
            <w:r>
              <w:rPr>
                <w:rFonts w:hint="eastAsia"/>
              </w:rPr>
              <w:t>主要生产设备有：</w:t>
            </w:r>
            <w:r>
              <w:rPr>
                <w:rFonts w:hint="eastAsia"/>
                <w:u w:val="single"/>
                <w:lang w:val="en-US" w:eastAsia="zh-CN"/>
              </w:rPr>
              <w:t>电脑、打印机等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                  </w:t>
            </w:r>
            <w:r>
              <w:rPr>
                <w:rFonts w:hint="eastAsia"/>
                <w:u w:val="single"/>
              </w:rPr>
              <w:t>（举</w:t>
            </w:r>
            <w:r>
              <w:rPr>
                <w:rFonts w:hint="eastAsia"/>
              </w:rPr>
              <w:t>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imes New Roman" w:hAnsi="Times New Roman" w:cs="Times New Roman"/>
                      <w:color w:val="000000"/>
                      <w:szCs w:val="18"/>
                      <w:lang w:val="en-US" w:eastAsia="zh-CN"/>
                    </w:rPr>
                    <w:t>火灾预防、火灾应急预案</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17</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4</w:t>
            </w:r>
            <w:r>
              <w:rPr>
                <w:rFonts w:hint="eastAsia"/>
              </w:rPr>
              <w:t>月</w:t>
            </w:r>
            <w:r>
              <w:rPr>
                <w:rFonts w:hint="eastAsia"/>
                <w:lang w:val="en-US" w:eastAsia="zh-CN"/>
              </w:rPr>
              <w:t>22-23</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49385F7E"/>
    <w:rsid w:val="69246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14434</Words>
  <Characters>15196</Characters>
  <Lines>150</Lines>
  <Paragraphs>42</Paragraphs>
  <TotalTime>0</TotalTime>
  <ScaleCrop>false</ScaleCrop>
  <LinksUpToDate>false</LinksUpToDate>
  <CharactersWithSpaces>15325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2022-06-27T15:47:34Z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