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0803-2022-QEO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上海诺山工程设计咨询有限公司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2022年06月17日 上午至2022年06月17日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上海市普陀区中江路879弄18号2层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2020-N1QMS-1263375</w:t>
            </w:r>
          </w:p>
          <w:p>
            <w:pPr>
              <w:spacing w:line="240" w:lineRule="exact"/>
              <w:jc w:val="center"/>
              <w:rPr>
                <w:b/>
                <w:color w:val="000000"/>
                <w:szCs w:val="21"/>
              </w:rPr>
            </w:pPr>
            <w:r>
              <w:rPr>
                <w:b/>
                <w:color w:val="000000"/>
                <w:szCs w:val="21"/>
              </w:rPr>
              <w:t>2020-N1EMS-1263375</w:t>
            </w:r>
          </w:p>
          <w:p>
            <w:pPr>
              <w:spacing w:line="240" w:lineRule="exact"/>
              <w:jc w:val="center"/>
              <w:rPr>
                <w:b/>
                <w:color w:val="000000"/>
                <w:szCs w:val="21"/>
              </w:rPr>
            </w:pPr>
            <w:r>
              <w:rPr>
                <w:b/>
                <w:color w:val="000000"/>
                <w:szCs w:val="21"/>
              </w:rPr>
              <w:t>2021-N1OHSMS-1263375</w:t>
            </w:r>
          </w:p>
        </w:tc>
        <w:tc>
          <w:tcPr>
            <w:tcW w:w="1140" w:type="dxa"/>
            <w:vAlign w:val="center"/>
          </w:tcPr>
          <w:p>
            <w:pPr>
              <w:spacing w:line="240" w:lineRule="exact"/>
              <w:jc w:val="center"/>
              <w:rPr>
                <w:b/>
                <w:color w:val="000000"/>
                <w:szCs w:val="21"/>
              </w:rPr>
            </w:pPr>
            <w:r>
              <w:rPr>
                <w:b/>
                <w:color w:val="000000"/>
                <w:szCs w:val="21"/>
              </w:rPr>
              <w:t>Q:34.01.01,34.01.02,34.02.00,34.06.00</w:t>
            </w:r>
          </w:p>
          <w:p>
            <w:pPr>
              <w:spacing w:line="240" w:lineRule="exact"/>
              <w:jc w:val="center"/>
              <w:rPr>
                <w:b/>
                <w:color w:val="000000"/>
                <w:szCs w:val="21"/>
              </w:rPr>
            </w:pPr>
            <w:r>
              <w:rPr>
                <w:b/>
                <w:color w:val="000000"/>
                <w:szCs w:val="21"/>
              </w:rPr>
              <w:t>E:34.01.01,34.01.02,34.02.00,34.06.00</w:t>
            </w:r>
          </w:p>
          <w:p>
            <w:pPr>
              <w:spacing w:line="240" w:lineRule="exact"/>
              <w:jc w:val="center"/>
              <w:rPr>
                <w:b/>
                <w:color w:val="000000"/>
                <w:szCs w:val="21"/>
              </w:rPr>
            </w:pPr>
            <w:r>
              <w:rPr>
                <w:b/>
                <w:color w:val="000000"/>
                <w:szCs w:val="21"/>
              </w:rPr>
              <w:t>O:34.01.01,34.01.02B,34.02.00,34.06.00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陈琦</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2022-N1QMS-1212288</w:t>
            </w:r>
          </w:p>
          <w:p>
            <w:pPr>
              <w:spacing w:line="240" w:lineRule="exact"/>
              <w:jc w:val="center"/>
              <w:rPr>
                <w:b/>
                <w:color w:val="000000"/>
                <w:szCs w:val="21"/>
              </w:rPr>
            </w:pPr>
            <w:r>
              <w:rPr>
                <w:b/>
                <w:color w:val="000000"/>
                <w:szCs w:val="21"/>
              </w:rPr>
              <w:t>2022-N1EMS-1212288</w:t>
            </w:r>
          </w:p>
          <w:p>
            <w:pPr>
              <w:spacing w:line="240" w:lineRule="exact"/>
              <w:jc w:val="center"/>
              <w:rPr>
                <w:b/>
                <w:color w:val="000000"/>
                <w:szCs w:val="21"/>
              </w:rPr>
            </w:pPr>
            <w:r>
              <w:rPr>
                <w:b/>
                <w:color w:val="000000"/>
                <w:szCs w:val="21"/>
              </w:rPr>
              <w:t>2022-N1OHSMS-1212288</w:t>
            </w:r>
          </w:p>
        </w:tc>
        <w:tc>
          <w:tcPr>
            <w:tcW w:w="1140" w:type="dxa"/>
            <w:vAlign w:val="center"/>
          </w:tcPr>
          <w:p>
            <w:pPr>
              <w:spacing w:line="240" w:lineRule="exact"/>
              <w:jc w:val="center"/>
              <w:rPr>
                <w:b/>
                <w:color w:val="000000"/>
                <w:szCs w:val="21"/>
              </w:rPr>
            </w:pPr>
            <w:r>
              <w:rPr>
                <w:b/>
                <w:color w:val="000000"/>
                <w:szCs w:val="21"/>
              </w:rPr>
              <w:t>E:34.01.01,34.06.00</w:t>
            </w:r>
          </w:p>
          <w:p>
            <w:pPr>
              <w:spacing w:line="240" w:lineRule="exact"/>
              <w:jc w:val="center"/>
              <w:rPr>
                <w:b/>
                <w:color w:val="000000"/>
                <w:szCs w:val="21"/>
              </w:rPr>
            </w:pPr>
            <w:r>
              <w:rPr>
                <w:b/>
                <w:color w:val="000000"/>
                <w:szCs w:val="21"/>
              </w:rPr>
              <w:t>O:34.01.01,34.06.00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上海诺山工程设计咨询有限公司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上海市普陀区中江路879弄18号2层218室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200333</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上海市普陀区中江路879弄18号2层</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200333</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王叶</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13916980804</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朱博华</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陆艳</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资质证书范围内的工程设计；资信证书范围内的工程咨询；工程技术领域内的技术服务（水土保持方案编制、水土保持监测、水土保持设施验收）</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280" w:lineRule="exact"/>
              <w:rPr>
                <w:rFonts w:hint="eastAsia" w:eastAsia="宋体"/>
                <w:sz w:val="21"/>
                <w:szCs w:val="21"/>
                <w:lang w:eastAsia="zh-CN"/>
              </w:rPr>
            </w:pPr>
            <w:r>
              <w:rPr>
                <w:rFonts w:hint="eastAsia"/>
                <w:lang w:val="en-US" w:eastAsia="zh-CN"/>
              </w:rPr>
              <w:t>1、</w:t>
            </w:r>
            <w:r>
              <w:rPr>
                <w:rFonts w:hint="eastAsia"/>
                <w:sz w:val="21"/>
                <w:szCs w:val="21"/>
                <w:lang w:val="en-US" w:eastAsia="zh-CN"/>
              </w:rPr>
              <w:t>设计类流程图：</w:t>
            </w:r>
            <w:r>
              <w:rPr>
                <w:rFonts w:hint="eastAsia"/>
                <w:sz w:val="21"/>
                <w:szCs w:val="21"/>
              </w:rPr>
              <w:t>业主委托或项目中标→下任务单→组建项目组→外部沟通与现场踏勘→基础资料收集与验证→设计内部校审→设计修编→技术交底与施工配合→完工工作报告→合同履行结束</w:t>
            </w:r>
            <w:r>
              <w:rPr>
                <w:rFonts w:hint="eastAsia"/>
                <w:sz w:val="21"/>
                <w:szCs w:val="21"/>
                <w:lang w:eastAsia="zh-CN"/>
              </w:rPr>
              <w:t>。</w:t>
            </w:r>
          </w:p>
          <w:p>
            <w:pPr>
              <w:snapToGrid w:val="0"/>
              <w:spacing w:line="280" w:lineRule="exact"/>
              <w:rPr>
                <w:rFonts w:hint="eastAsia"/>
                <w:sz w:val="21"/>
                <w:szCs w:val="21"/>
                <w:lang w:eastAsia="zh-CN"/>
              </w:rPr>
            </w:pPr>
            <w:r>
              <w:rPr>
                <w:rFonts w:hint="eastAsia"/>
                <w:sz w:val="21"/>
                <w:szCs w:val="21"/>
                <w:lang w:val="en-US" w:eastAsia="zh-CN"/>
              </w:rPr>
              <w:t>2、咨询类项目流程图:</w:t>
            </w:r>
            <w:r>
              <w:rPr>
                <w:rFonts w:hint="eastAsia"/>
                <w:sz w:val="21"/>
                <w:szCs w:val="21"/>
              </w:rPr>
              <w:t>业主委托或项目中标→下任务单→组建项目组→外部沟通与现场踏勘→基础资料收集与验证→咨询报告内部校审→项目成果统稿→报告评审→报告修编→完工工作报告→合同履行结束</w:t>
            </w:r>
            <w:r>
              <w:rPr>
                <w:rFonts w:hint="eastAsia"/>
                <w:sz w:val="21"/>
                <w:szCs w:val="21"/>
                <w:lang w:eastAsia="zh-CN"/>
              </w:rPr>
              <w:t>。</w:t>
            </w:r>
          </w:p>
          <w:p>
            <w:pPr>
              <w:snapToGrid w:val="0"/>
              <w:spacing w:line="280" w:lineRule="exact"/>
              <w:rPr>
                <w:rFonts w:hint="eastAsia"/>
                <w:sz w:val="21"/>
                <w:szCs w:val="21"/>
                <w:lang w:eastAsia="zh-CN"/>
              </w:rPr>
            </w:pPr>
            <w:r>
              <w:rPr>
                <w:rFonts w:hint="eastAsia"/>
                <w:sz w:val="21"/>
                <w:szCs w:val="21"/>
                <w:lang w:val="en-US" w:eastAsia="zh-CN"/>
              </w:rPr>
              <w:t>3、水土保持方案项目流程图：</w:t>
            </w:r>
            <w:r>
              <w:rPr>
                <w:rFonts w:hint="eastAsia"/>
                <w:sz w:val="21"/>
                <w:szCs w:val="21"/>
              </w:rPr>
              <w:t>业主委托或项目中标→下任务单→组建项目组→外部沟通与现场踏勘→基础资料收集与验证→完成报告初稿→咨询报告内部校审→项目成果统稿→报告评审→报告修编→完工工作报告→合同履行结束</w:t>
            </w:r>
            <w:r>
              <w:rPr>
                <w:rFonts w:hint="eastAsia"/>
                <w:sz w:val="21"/>
                <w:szCs w:val="21"/>
                <w:lang w:eastAsia="zh-CN"/>
              </w:rPr>
              <w:t>。</w:t>
            </w:r>
          </w:p>
          <w:p>
            <w:pPr>
              <w:snapToGrid w:val="0"/>
              <w:spacing w:line="280" w:lineRule="exact"/>
              <w:rPr>
                <w:rFonts w:ascii="宋体"/>
                <w:color w:val="000000"/>
                <w:szCs w:val="21"/>
              </w:rPr>
            </w:pP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lang w:eastAsia="zh-CN"/>
              </w:rPr>
              <w:t>水土保持监测及验收</w:t>
            </w:r>
            <w:r>
              <w:rPr>
                <w:rFonts w:hint="eastAsia" w:ascii="Times New Roman" w:hAnsi="Times New Roman" w:cs="Times New Roman"/>
                <w:sz w:val="21"/>
                <w:szCs w:val="21"/>
              </w:rPr>
              <w:t>项目工艺流程图</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业</w:t>
            </w:r>
            <w:r>
              <w:rPr>
                <w:rFonts w:hint="eastAsia"/>
                <w:sz w:val="21"/>
                <w:szCs w:val="21"/>
              </w:rPr>
              <w:t>主委托或项目中标→下任务单→组建项目组→外部沟通与现场踏勘→完成报告初稿→咨询报告内部校审→项目成果统稿→取得水保验收报备表→合同履行结束</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资质证书范围内的工程设计；资信证书范围内的工程咨询；工程技术领域内的技术服务（水土保持方案编制、水土保持监测、水土保持设施验收）</w:t>
            </w:r>
          </w:p>
        </w:tc>
        <w:tc>
          <w:tcPr>
            <w:tcW w:w="2006" w:type="dxa"/>
            <w:gridSpan w:val="3"/>
            <w:vAlign w:val="center"/>
          </w:tcPr>
          <w:p>
            <w:r>
              <w:t>34.01.01;34.01.02;34.02.00;34.06.00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资质证书范围内的工程设计；资信证书范围内的工程咨询；工程技术领域内的技术服务（水土保持方案编制、水土保持监测、水土保持设施验收）所涉及场所的相关环境管理活动</w:t>
            </w:r>
          </w:p>
        </w:tc>
        <w:tc>
          <w:tcPr>
            <w:tcW w:w="2006" w:type="dxa"/>
            <w:gridSpan w:val="3"/>
            <w:vAlign w:val="center"/>
          </w:tcPr>
          <w:p>
            <w:r>
              <w:t>34.01.01;34.01.02;34.02.00;34.06.00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资质证书范围内的工程设计；资信证书范围内的工程咨询；工程技术领域内的技术服务（水土保持方案编制、水土保持监测、水土保持设施验收）所涉及场所的相关职业健康安全管理活动</w:t>
            </w:r>
          </w:p>
        </w:tc>
        <w:tc>
          <w:tcPr>
            <w:tcW w:w="2006" w:type="dxa"/>
            <w:gridSpan w:val="3"/>
            <w:vAlign w:val="center"/>
          </w:tcPr>
          <w:p>
            <w:r>
              <w:t>34.01.01;34.01.02;34.02.00;34.06.00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上海诺山工程设计咨询有限公司</w:t>
            </w:r>
            <w:r>
              <w:rPr>
                <w:rFonts w:hint="eastAsia"/>
                <w:sz w:val="21"/>
                <w:szCs w:val="21"/>
                <w:lang w:val="en-US" w:eastAsia="zh-CN"/>
              </w:rPr>
              <w:t>/</w:t>
            </w:r>
            <w:r>
              <w:rPr>
                <w:sz w:val="21"/>
                <w:szCs w:val="21"/>
              </w:rPr>
              <w:t>上海市普陀区中江路879弄18号2层218室</w:t>
            </w:r>
          </w:p>
        </w:tc>
        <w:tc>
          <w:tcPr>
            <w:tcW w:w="2267" w:type="dxa"/>
          </w:tcPr>
          <w:p>
            <w:pPr>
              <w:spacing w:before="40" w:after="40"/>
              <w:rPr>
                <w:rFonts w:eastAsia="黑体"/>
                <w:szCs w:val="21"/>
                <w:lang w:val="de-DE" w:eastAsia="ja-JP"/>
              </w:rPr>
            </w:pPr>
            <w:r>
              <w:rPr>
                <w:sz w:val="21"/>
                <w:szCs w:val="21"/>
              </w:rPr>
              <w:t>上海市普陀区中江路879弄18号2层</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50</w:t>
            </w:r>
          </w:p>
        </w:tc>
        <w:tc>
          <w:tcPr>
            <w:tcW w:w="2803" w:type="dxa"/>
            <w:vAlign w:val="center"/>
          </w:tcPr>
          <w:p>
            <w:bookmarkStart w:id="35" w:name="审核范围"/>
            <w:r>
              <w:t>Q：资质证书范围内的工程设计；资信证书范围内的工程咨询；工程技术领域内的技术服务（水土保持方案编制、水土保持监测、水土保持设施验收）</w:t>
            </w:r>
          </w:p>
          <w:p>
            <w:r>
              <w:t>E：资质证书范围内的工程设计；资信证书范围内的工程咨询；工程技术领域内的技术服务（水土保持方案编制、水土保持监测、水土保持设施验收）所涉及场所的相关环境管理活动</w:t>
            </w:r>
          </w:p>
          <w:p>
            <w:pPr>
              <w:pStyle w:val="20"/>
              <w:rPr>
                <w:rFonts w:eastAsia="黑体" w:cs="Arial"/>
                <w:sz w:val="21"/>
                <w:szCs w:val="21"/>
                <w:lang w:val="en-US" w:eastAsia="ja-JP"/>
              </w:rPr>
            </w:pPr>
            <w:r>
              <w:t>O：资质证书范围内的工程设计；资信证书范围内的工程咨询；工程技术领域内的技术服务（水土保持方案编制、水土保持监测、水土保持设施验收）所涉及场所的相关职业健康安全管理活动</w:t>
            </w:r>
            <w:bookmarkEnd w:id="35"/>
          </w:p>
        </w:tc>
        <w:tc>
          <w:tcPr>
            <w:tcW w:w="669" w:type="dxa"/>
            <w:vAlign w:val="center"/>
          </w:tcPr>
          <w:p>
            <w:pPr>
              <w:spacing w:before="40" w:after="40"/>
              <w:rPr>
                <w:rFonts w:eastAsia="黑体"/>
                <w:szCs w:val="21"/>
                <w:lang w:eastAsia="ja-JP"/>
              </w:rPr>
            </w:pPr>
            <w:r>
              <w:rPr>
                <w:rFonts w:hint="eastAsia" w:ascii="宋体" w:hAnsi="宋体"/>
                <w:b/>
                <w:sz w:val="21"/>
                <w:szCs w:val="21"/>
              </w:rPr>
              <w:t>■GB/T19001-2016/■GB/T24001-2016/■GB/T 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25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年3月7日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设计过程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r>
              <w:rPr>
                <w:rFonts w:hint="eastAsia" w:ascii="宋体"/>
                <w:b/>
                <w:color w:val="000000"/>
                <w:szCs w:val="21"/>
                <w:lang w:val="en-US" w:eastAsia="zh-CN"/>
              </w:rPr>
              <w:t>2022.6.18-2022.6.19上午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40" w:lineRule="auto"/>
              <w:jc w:val="center"/>
              <w:rPr>
                <w:rFonts w:hint="eastAsia" w:ascii="宋体" w:eastAsia="宋体"/>
                <w:b/>
                <w:color w:val="000000"/>
                <w:szCs w:val="21"/>
                <w:lang w:eastAsia="zh-CN"/>
              </w:rPr>
            </w:pPr>
            <w:r>
              <w:rPr>
                <w:rFonts w:hint="eastAsia" w:ascii="宋体" w:eastAsia="宋体"/>
                <w:b/>
                <w:color w:val="000000"/>
                <w:szCs w:val="21"/>
                <w:lang w:eastAsia="zh-CN"/>
              </w:rPr>
              <w:drawing>
                <wp:anchor distT="0" distB="0" distL="114300" distR="114300" simplePos="0" relativeHeight="251664384" behindDoc="0" locked="0" layoutInCell="1" allowOverlap="1">
                  <wp:simplePos x="0" y="0"/>
                  <wp:positionH relativeFrom="column">
                    <wp:posOffset>-344170</wp:posOffset>
                  </wp:positionH>
                  <wp:positionV relativeFrom="paragraph">
                    <wp:posOffset>-762000</wp:posOffset>
                  </wp:positionV>
                  <wp:extent cx="6548755" cy="8545195"/>
                  <wp:effectExtent l="0" t="0" r="4445" b="1905"/>
                  <wp:wrapNone/>
                  <wp:docPr id="7" name="图片 7" descr="微信图片_2022062221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622215420"/>
                          <pic:cNvPicPr>
                            <a:picLocks noChangeAspect="1"/>
                          </pic:cNvPicPr>
                        </pic:nvPicPr>
                        <pic:blipFill>
                          <a:blip r:embed="rId6"/>
                          <a:stretch>
                            <a:fillRect/>
                          </a:stretch>
                        </pic:blipFill>
                        <pic:spPr>
                          <a:xfrm>
                            <a:off x="0" y="0"/>
                            <a:ext cx="6548755" cy="8545195"/>
                          </a:xfrm>
                          <a:prstGeom prst="rect">
                            <a:avLst/>
                          </a:prstGeom>
                        </pic:spPr>
                      </pic:pic>
                    </a:graphicData>
                  </a:graphic>
                </wp:anchor>
              </w:drawing>
            </w: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cs="Times New Roman"/>
          <w:szCs w:val="21"/>
          <w:lang w:eastAsia="zh-CN"/>
        </w:rPr>
        <w:drawing>
          <wp:anchor distT="0" distB="0" distL="114300" distR="114300" simplePos="0" relativeHeight="251663360" behindDoc="0" locked="0" layoutInCell="1" allowOverlap="1">
            <wp:simplePos x="0" y="0"/>
            <wp:positionH relativeFrom="column">
              <wp:posOffset>2039620</wp:posOffset>
            </wp:positionH>
            <wp:positionV relativeFrom="paragraph">
              <wp:posOffset>26035</wp:posOffset>
            </wp:positionV>
            <wp:extent cx="273685" cy="927100"/>
            <wp:effectExtent l="0" t="0" r="0" b="5715"/>
            <wp:wrapNone/>
            <wp:docPr id="5"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a70a62583c0d9032e3c5101938293d0"/>
                    <pic:cNvPicPr>
                      <a:picLocks noChangeAspect="1"/>
                    </pic:cNvPicPr>
                  </pic:nvPicPr>
                  <pic:blipFill>
                    <a:blip r:embed="rId7"/>
                    <a:stretch>
                      <a:fillRect/>
                    </a:stretch>
                  </pic:blipFill>
                  <pic:spPr>
                    <a:xfrm rot="-5400000">
                      <a:off x="0" y="0"/>
                      <a:ext cx="273685" cy="92710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eastAsia="宋体"/>
          <w:sz w:val="24"/>
          <w:lang w:eastAsia="zh-CN"/>
        </w:rPr>
        <w:drawing>
          <wp:inline distT="0" distB="0" distL="114300" distR="114300">
            <wp:extent cx="878205" cy="261620"/>
            <wp:effectExtent l="0" t="0" r="10795" b="5080"/>
            <wp:docPr id="6" name="图片 1" descr="558a83d03b4729bf18c93030fbd13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558a83d03b4729bf18c93030fbd137b"/>
                    <pic:cNvPicPr>
                      <a:picLocks noChangeAspect="1"/>
                    </pic:cNvPicPr>
                  </pic:nvPicPr>
                  <pic:blipFill>
                    <a:blip r:embed="rId8"/>
                    <a:stretch>
                      <a:fillRect/>
                    </a:stretch>
                  </pic:blipFill>
                  <pic:spPr>
                    <a:xfrm>
                      <a:off x="0" y="0"/>
                      <a:ext cx="878205" cy="261620"/>
                    </a:xfrm>
                    <a:prstGeom prst="rect">
                      <a:avLst/>
                    </a:prstGeom>
                    <a:noFill/>
                    <a:ln>
                      <a:noFill/>
                    </a:ln>
                  </pic:spPr>
                </pic:pic>
              </a:graphicData>
            </a:graphic>
          </wp:inline>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2022.6.17</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宋体"/>
          <w:color w:val="000000"/>
          <w:sz w:val="21"/>
          <w:szCs w:val="21"/>
          <w:lang w:val="en-US" w:eastAsia="zh-CN"/>
        </w:rPr>
        <w:drawing>
          <wp:anchor distT="0" distB="0" distL="114300" distR="114300" simplePos="0" relativeHeight="251665408" behindDoc="0" locked="0" layoutInCell="1" allowOverlap="1">
            <wp:simplePos x="0" y="0"/>
            <wp:positionH relativeFrom="column">
              <wp:posOffset>-426085</wp:posOffset>
            </wp:positionH>
            <wp:positionV relativeFrom="paragraph">
              <wp:posOffset>-711200</wp:posOffset>
            </wp:positionV>
            <wp:extent cx="6884670" cy="10000615"/>
            <wp:effectExtent l="0" t="0" r="11430" b="6985"/>
            <wp:wrapNone/>
            <wp:docPr id="8" name="图片 8" descr="微信图片_20220622215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622215436"/>
                    <pic:cNvPicPr>
                      <a:picLocks noChangeAspect="1"/>
                    </pic:cNvPicPr>
                  </pic:nvPicPr>
                  <pic:blipFill>
                    <a:blip r:embed="rId9"/>
                    <a:stretch>
                      <a:fillRect/>
                    </a:stretch>
                  </pic:blipFill>
                  <pic:spPr>
                    <a:xfrm>
                      <a:off x="0" y="0"/>
                      <a:ext cx="6884670" cy="10000615"/>
                    </a:xfrm>
                    <a:prstGeom prst="rect">
                      <a:avLst/>
                    </a:prstGeom>
                  </pic:spPr>
                </pic:pic>
              </a:graphicData>
            </a:graphic>
          </wp:anchor>
        </w:drawing>
      </w: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999490</wp:posOffset>
                  </wp:positionH>
                  <wp:positionV relativeFrom="paragraph">
                    <wp:posOffset>-326390</wp:posOffset>
                  </wp:positionV>
                  <wp:extent cx="203200" cy="927100"/>
                  <wp:effectExtent l="0" t="0" r="0" b="0"/>
                  <wp:wrapNone/>
                  <wp:docPr id="3"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a70a62583c0d9032e3c5101938293d0"/>
                          <pic:cNvPicPr>
                            <a:picLocks noChangeAspect="1"/>
                          </pic:cNvPicPr>
                        </pic:nvPicPr>
                        <pic:blipFill>
                          <a:blip r:embed="rId7"/>
                          <a:stretch>
                            <a:fillRect/>
                          </a:stretch>
                        </pic:blipFill>
                        <pic:spPr>
                          <a:xfrm rot="-5400000">
                            <a:off x="0" y="0"/>
                            <a:ext cx="203200" cy="92710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17</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bookmarkStart w:id="36" w:name="总组长"/>
            <w:bookmarkStart w:id="37" w:name="总组长Add1"/>
            <w:r>
              <w:rPr>
                <w:rFonts w:hint="eastAsia" w:ascii="宋体" w:hAnsi="宋体" w:eastAsia="宋体" w:cs="Times New Roman"/>
                <w:szCs w:val="21"/>
                <w:lang w:eastAsia="zh-CN"/>
              </w:rPr>
              <w:drawing>
                <wp:anchor distT="0" distB="0" distL="114300" distR="114300" simplePos="0" relativeHeight="251661312" behindDoc="0" locked="0" layoutInCell="1" allowOverlap="1">
                  <wp:simplePos x="0" y="0"/>
                  <wp:positionH relativeFrom="column">
                    <wp:posOffset>854075</wp:posOffset>
                  </wp:positionH>
                  <wp:positionV relativeFrom="paragraph">
                    <wp:posOffset>-272415</wp:posOffset>
                  </wp:positionV>
                  <wp:extent cx="203200" cy="927100"/>
                  <wp:effectExtent l="0" t="0" r="0" b="0"/>
                  <wp:wrapNone/>
                  <wp:docPr id="2"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a70a62583c0d9032e3c5101938293d0"/>
                          <pic:cNvPicPr>
                            <a:picLocks noChangeAspect="1"/>
                          </pic:cNvPicPr>
                        </pic:nvPicPr>
                        <pic:blipFill>
                          <a:blip r:embed="rId7"/>
                          <a:stretch>
                            <a:fillRect/>
                          </a:stretch>
                        </pic:blipFill>
                        <pic:spPr>
                          <a:xfrm rot="-5400000">
                            <a:off x="0" y="0"/>
                            <a:ext cx="203200" cy="927100"/>
                          </a:xfrm>
                          <a:prstGeom prst="rect">
                            <a:avLst/>
                          </a:prstGeom>
                          <a:noFill/>
                          <a:ln>
                            <a:noFill/>
                          </a:ln>
                        </pic:spPr>
                      </pic:pic>
                    </a:graphicData>
                  </a:graphic>
                </wp:anchor>
              </w:drawing>
            </w:r>
            <w:bookmarkEnd w:id="36"/>
            <w:bookmarkEnd w:id="37"/>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17</w:t>
            </w:r>
            <w:r>
              <w:rPr>
                <w:rFonts w:hint="eastAsia"/>
                <w:b/>
                <w:color w:val="000000"/>
                <w:szCs w:val="21"/>
              </w:rPr>
              <w:t>日日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DlkMDNiN2QzZTk4YTE3NjNiM2I5OTI4Y2YxNGYyZmIifQ=="/>
  </w:docVars>
  <w:rsids>
    <w:rsidRoot w:val="00000000"/>
    <w:rsid w:val="0767791B"/>
    <w:rsid w:val="256C7E29"/>
    <w:rsid w:val="3C985A28"/>
    <w:rsid w:val="4B86087C"/>
    <w:rsid w:val="5FF826D0"/>
    <w:rsid w:val="613954C9"/>
    <w:rsid w:val="728673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locked/>
    <w:uiPriority w:val="0"/>
    <w:pPr>
      <w:ind w:left="840" w:leftChars="400"/>
      <w:jc w:val="both"/>
    </w:pPr>
    <w:rPr>
      <w:rFonts w:ascii="Calibri" w:hAnsi="Calibri" w:eastAsia="宋体" w:cs="Calibri"/>
      <w:iCs/>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6164</Words>
  <Characters>7127</Characters>
  <Lines>67</Lines>
  <Paragraphs>18</Paragraphs>
  <TotalTime>4</TotalTime>
  <ScaleCrop>false</ScaleCrop>
  <LinksUpToDate>false</LinksUpToDate>
  <CharactersWithSpaces>7209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强子</cp:lastModifiedBy>
  <dcterms:modified xsi:type="dcterms:W3CDTF">2022-06-22T13:56:10Z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