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0567-2021--EnMS-2022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常州市范群干燥设备有限公司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R197EnMS210029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91320411137327370H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83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4"/>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4"/>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常州市范群干燥设备有限公司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“范干”牌干燥设备的设计开发和制造涉及相关能源管理活动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常州市新北区国家环保产业园环保一路9号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常州市新北区国家环保产业园环保一路9号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8"/>
              <w:spacing w:before="0" w:after="0"/>
              <w:jc w:val="left"/>
              <w:rPr>
                <w:rFonts w:cs="Arial"/>
                <w:b/>
                <w:bCs/>
                <w:sz w:val="22"/>
                <w:szCs w:val="22"/>
              </w:rPr>
            </w:pPr>
            <w:r>
              <w:rPr>
                <w:rFonts w:hint="eastAsia" w:cs="Arial"/>
                <w:b/>
                <w:bCs/>
                <w:sz w:val="22"/>
                <w:szCs w:val="22"/>
              </w:rPr>
              <w:t>公司名称 - 总部</w:t>
            </w:r>
          </w:p>
          <w:p>
            <w:pPr>
              <w:pStyle w:val="18"/>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HQ</w:t>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8"/>
              <w:spacing w:before="0" w:after="0"/>
              <w:jc w:val="left"/>
              <w:rPr>
                <w:rFonts w:cs="Arial"/>
                <w:b/>
                <w:bCs/>
                <w:sz w:val="22"/>
                <w:szCs w:val="22"/>
              </w:rPr>
            </w:pPr>
            <w:r>
              <w:rPr>
                <w:rFonts w:hint="eastAsia" w:cs="Arial"/>
                <w:b/>
                <w:bCs/>
                <w:sz w:val="22"/>
                <w:szCs w:val="22"/>
              </w:rPr>
              <w:t>注册地址：</w:t>
            </w:r>
          </w:p>
          <w:p>
            <w:pPr>
              <w:pStyle w:val="18"/>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8"/>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pPr>
    </w:p>
    <w:p>
      <w:pPr>
        <w:pStyle w:val="2"/>
      </w:pPr>
      <w:bookmarkStart w:id="24" w:name="_GoBack"/>
      <w:bookmarkEnd w:id="24"/>
    </w:p>
    <w:p>
      <w:pPr>
        <w:snapToGrid w:val="0"/>
        <w:spacing w:line="0" w:lineRule="atLeast"/>
      </w:pPr>
    </w:p>
    <w:p>
      <w:pPr>
        <w:snapToGrid w:val="0"/>
        <w:spacing w:line="0" w:lineRule="atLeast"/>
      </w:pPr>
      <w:r>
        <w:rPr>
          <w:rFonts w:hint="eastAsia"/>
        </w:rPr>
        <w:t>附件2：</w:t>
      </w:r>
    </w:p>
    <w:p>
      <w:pPr>
        <w:pStyle w:val="4"/>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4"/>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常州市范群干燥设备有限公司</w:t>
      </w:r>
      <w:bookmarkEnd w:id="21"/>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2" w:name="证书编号Add1"/>
      <w:r>
        <w:rPr>
          <w:b/>
          <w:color w:val="000000" w:themeColor="text1"/>
          <w:sz w:val="22"/>
          <w:szCs w:val="22"/>
        </w:rPr>
        <w:t>R197EnMS210029</w:t>
      </w:r>
      <w:bookmarkEnd w:id="22"/>
    </w:p>
    <w:p>
      <w:pPr>
        <w:pStyle w:val="4"/>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常州市新北区国家环保产业园环保一路9号</w:t>
      </w:r>
      <w:bookmarkEnd w:id="23"/>
    </w:p>
    <w:p>
      <w:pPr>
        <w:pStyle w:val="4"/>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4"/>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b/>
          <w:color w:val="000000"/>
          <w:sz w:val="22"/>
          <w:szCs w:val="22"/>
          <w:u w:val="single"/>
          <w:lang w:val="en-US" w:eastAsia="zh-CN"/>
        </w:rPr>
        <w:t>RB/T 119-2015《能源管理体系 机械制造企业认证要求》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155"/>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noWrap w:val="0"/>
            <w:vAlign w:val="top"/>
          </w:tcPr>
          <w:p>
            <w:pPr>
              <w:pStyle w:val="4"/>
              <w:spacing w:line="400" w:lineRule="exact"/>
              <w:ind w:firstLine="0"/>
              <w:jc w:val="center"/>
              <w:rPr>
                <w:rFonts w:ascii="宋体" w:hAnsi="宋体"/>
                <w:b/>
                <w:color w:val="000000"/>
                <w:sz w:val="24"/>
                <w:szCs w:val="24"/>
              </w:rPr>
            </w:pPr>
            <w:r>
              <w:rPr>
                <w:rFonts w:hint="eastAsia" w:ascii="宋体" w:hAnsi="宋体"/>
                <w:b/>
                <w:color w:val="000000"/>
                <w:sz w:val="24"/>
                <w:szCs w:val="24"/>
              </w:rPr>
              <w:t>审核类型及时间</w:t>
            </w:r>
          </w:p>
        </w:tc>
        <w:tc>
          <w:tcPr>
            <w:tcW w:w="4155" w:type="dxa"/>
            <w:noWrap w:val="0"/>
            <w:vAlign w:val="top"/>
          </w:tcPr>
          <w:p>
            <w:pPr>
              <w:pStyle w:val="4"/>
              <w:spacing w:line="400" w:lineRule="exact"/>
              <w:ind w:firstLine="0"/>
              <w:jc w:val="center"/>
              <w:rPr>
                <w:rFonts w:ascii="宋体" w:hAnsi="宋体"/>
                <w:b/>
                <w:color w:val="000000"/>
                <w:sz w:val="24"/>
                <w:szCs w:val="24"/>
              </w:rPr>
            </w:pPr>
            <w:r>
              <w:rPr>
                <w:rFonts w:hint="eastAsia" w:ascii="宋体" w:hAnsi="宋体"/>
                <w:b/>
                <w:color w:val="000000"/>
                <w:sz w:val="24"/>
                <w:szCs w:val="24"/>
              </w:rPr>
              <w:t>能</w:t>
            </w:r>
            <w:r>
              <w:rPr>
                <w:rFonts w:hint="eastAsia" w:ascii="宋体" w:hAnsi="宋体"/>
                <w:b/>
                <w:color w:val="000000"/>
                <w:sz w:val="24"/>
                <w:szCs w:val="24"/>
                <w:lang w:val="en-US" w:eastAsia="zh-CN"/>
              </w:rPr>
              <w:t>源</w:t>
            </w:r>
            <w:r>
              <w:rPr>
                <w:rFonts w:hint="eastAsia" w:ascii="宋体" w:hAnsi="宋体"/>
                <w:b/>
                <w:color w:val="000000"/>
                <w:sz w:val="24"/>
                <w:szCs w:val="24"/>
              </w:rPr>
              <w:t>数据</w:t>
            </w:r>
          </w:p>
        </w:tc>
        <w:tc>
          <w:tcPr>
            <w:tcW w:w="3415" w:type="dxa"/>
            <w:noWrap w:val="0"/>
            <w:vAlign w:val="top"/>
          </w:tcPr>
          <w:p>
            <w:pPr>
              <w:pStyle w:val="4"/>
              <w:spacing w:line="400" w:lineRule="exact"/>
              <w:ind w:firstLine="0"/>
              <w:jc w:val="center"/>
              <w:rPr>
                <w:rFonts w:ascii="宋体" w:hAnsi="宋体"/>
                <w:b/>
                <w:color w:val="000000"/>
                <w:sz w:val="24"/>
                <w:szCs w:val="24"/>
              </w:rPr>
            </w:pPr>
            <w:r>
              <w:rPr>
                <w:rFonts w:hint="eastAsia" w:ascii="宋体" w:hAnsi="宋体"/>
                <w:b/>
                <w:color w:val="000000"/>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4"/>
              <w:spacing w:line="400" w:lineRule="exact"/>
              <w:ind w:firstLine="0"/>
              <w:rPr>
                <w:sz w:val="20"/>
                <w:szCs w:val="22"/>
              </w:rPr>
            </w:pPr>
            <w:r>
              <w:rPr>
                <w:rFonts w:hint="eastAsia"/>
                <w:sz w:val="20"/>
                <w:szCs w:val="22"/>
              </w:rPr>
              <w:t>初次审核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7</w:t>
            </w:r>
            <w:r>
              <w:rPr>
                <w:rFonts w:hint="eastAsia"/>
                <w:sz w:val="20"/>
                <w:szCs w:val="22"/>
              </w:rPr>
              <w:t>月</w:t>
            </w:r>
          </w:p>
          <w:p>
            <w:pPr>
              <w:pStyle w:val="4"/>
              <w:spacing w:line="400" w:lineRule="exact"/>
              <w:ind w:firstLine="0"/>
              <w:rPr>
                <w:rFonts w:hint="default" w:ascii="宋体" w:hAnsi="宋体" w:eastAsia="宋体"/>
                <w:b/>
                <w:color w:val="000000"/>
                <w:sz w:val="24"/>
                <w:szCs w:val="24"/>
                <w:lang w:val="en-US" w:eastAsia="zh-CN"/>
              </w:rPr>
            </w:pPr>
            <w:r>
              <w:rPr>
                <w:rFonts w:hint="eastAsia"/>
                <w:sz w:val="20"/>
                <w:szCs w:val="22"/>
                <w:lang w:val="en-US" w:eastAsia="zh-CN"/>
              </w:rPr>
              <w:t>6日</w:t>
            </w:r>
            <w:r>
              <w:rPr>
                <w:rFonts w:hint="eastAsia"/>
                <w:sz w:val="20"/>
                <w:szCs w:val="22"/>
              </w:rPr>
              <w:t>-</w:t>
            </w:r>
            <w:r>
              <w:rPr>
                <w:rFonts w:hint="eastAsia"/>
                <w:sz w:val="20"/>
                <w:szCs w:val="22"/>
                <w:lang w:val="en-US" w:eastAsia="zh-CN"/>
              </w:rPr>
              <w:t>8日</w:t>
            </w:r>
          </w:p>
        </w:tc>
        <w:tc>
          <w:tcPr>
            <w:tcW w:w="4155" w:type="dxa"/>
            <w:noWrap w:val="0"/>
            <w:vAlign w:val="top"/>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b/>
                <w:color w:val="000000"/>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415" w:type="dxa"/>
            <w:vMerge w:val="restart"/>
            <w:noWrap w:val="0"/>
            <w:vAlign w:val="top"/>
          </w:tcPr>
          <w:p>
            <w:pPr>
              <w:pStyle w:val="4"/>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1、常州市新北区国家环保产业园环保一路9号的常州市范群干燥设备有限公司</w:t>
            </w:r>
          </w:p>
          <w:p>
            <w:pPr>
              <w:pStyle w:val="4"/>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2、主要生产系统：生产部（包含：电焊车间，机加工车间，主机管道车间，电工车间、军工车间）。</w:t>
            </w:r>
          </w:p>
          <w:p>
            <w:pPr>
              <w:pStyle w:val="4"/>
              <w:numPr>
                <w:ilvl w:val="0"/>
                <w:numId w:val="0"/>
              </w:numPr>
              <w:spacing w:line="400" w:lineRule="exact"/>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3、辅助生产系统：企管部、设备部、采购部、财务部、技术部。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pStyle w:val="4"/>
              <w:spacing w:line="320" w:lineRule="exact"/>
              <w:ind w:firstLine="0" w:firstLineChars="0"/>
              <w:rPr>
                <w:rFonts w:hint="eastAsia" w:ascii="宋体" w:hAnsi="宋体" w:eastAsia="宋体"/>
                <w:b/>
                <w:color w:val="000000"/>
                <w:szCs w:val="24"/>
                <w:lang w:eastAsia="zh-CN"/>
              </w:rPr>
            </w:pPr>
            <w:r>
              <w:rPr>
                <w:rFonts w:hint="eastAsia"/>
                <w:b/>
                <w:bCs/>
                <w:sz w:val="20"/>
                <w:lang w:val="en-US" w:eastAsia="zh-CN"/>
              </w:rPr>
              <w:t>产量或产值：</w:t>
            </w:r>
            <w:r>
              <w:rPr>
                <w:rFonts w:hint="eastAsia" w:ascii="Times New Roman" w:hAnsi="Times New Roman" w:eastAsia="宋体" w:cs="Times New Roman"/>
                <w:sz w:val="20"/>
                <w:szCs w:val="22"/>
                <w:lang w:val="en-US" w:eastAsia="zh-CN"/>
              </w:rPr>
              <w:t>119台、23640.12万元；</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pStyle w:val="4"/>
              <w:spacing w:line="320" w:lineRule="exact"/>
              <w:ind w:firstLine="0" w:firstLineChars="0"/>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zh-CN" w:eastAsia="zh-CN" w:bidi="ar-SA"/>
              </w:rPr>
              <w:t>综合能耗</w:t>
            </w:r>
            <w:r>
              <w:rPr>
                <w:rFonts w:hint="eastAsia" w:cs="Times New Roman"/>
                <w:kern w:val="2"/>
                <w:sz w:val="20"/>
                <w:szCs w:val="22"/>
                <w:lang w:val="zh-CN" w:eastAsia="zh-CN" w:bidi="ar-SA"/>
              </w:rPr>
              <w:t>：</w:t>
            </w:r>
            <w:r>
              <w:rPr>
                <w:rFonts w:hint="eastAsia" w:ascii="Times New Roman" w:hAnsi="Times New Roman" w:eastAsia="宋体" w:cs="Times New Roman"/>
                <w:sz w:val="20"/>
                <w:szCs w:val="22"/>
                <w:lang w:val="en-US" w:eastAsia="zh-CN"/>
              </w:rPr>
              <w:t>195530.93kgce</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rPr>
                <w:rFonts w:hint="default" w:cs="Times New Roman"/>
                <w:kern w:val="2"/>
                <w:sz w:val="20"/>
                <w:szCs w:val="22"/>
                <w:lang w:val="en-US" w:eastAsia="zh-CN" w:bidi="ar-SA"/>
              </w:rPr>
            </w:pPr>
            <w:r>
              <w:rPr>
                <w:rFonts w:hint="eastAsia" w:cs="Times New Roman"/>
                <w:kern w:val="2"/>
                <w:sz w:val="20"/>
                <w:szCs w:val="22"/>
                <w:lang w:val="en-US" w:eastAsia="zh-CN" w:bidi="ar-SA"/>
              </w:rPr>
              <w:t>单位能耗</w:t>
            </w:r>
            <w:r>
              <w:rPr>
                <w:rFonts w:hint="eastAsia" w:ascii="Times New Roman" w:hAnsi="Times New Roman" w:eastAsia="宋体" w:cs="Times New Roman"/>
                <w:kern w:val="2"/>
                <w:sz w:val="20"/>
                <w:szCs w:val="22"/>
                <w:lang w:val="en-US" w:eastAsia="zh-CN" w:bidi="ar-SA"/>
              </w:rPr>
              <w:t>：1643.12kgce/台；8.27kgce/万元。</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rPr>
                <w:rFonts w:hint="default"/>
                <w:sz w:val="20"/>
                <w:szCs w:val="22"/>
                <w:lang w:val="en-US" w:eastAsia="zh-CN"/>
              </w:rPr>
            </w:pPr>
            <w:r>
              <w:rPr>
                <w:rFonts w:hint="eastAsia"/>
                <w:b/>
                <w:bCs/>
                <w:sz w:val="20"/>
                <w:szCs w:val="22"/>
                <w:lang w:val="en-US" w:eastAsia="zh-CN"/>
              </w:rPr>
              <w:t>节能量（万吨标准煤）：</w:t>
            </w:r>
            <w:r>
              <w:rPr>
                <w:rFonts w:hint="eastAsia" w:ascii="Times New Roman" w:hAnsi="Times New Roman" w:eastAsia="宋体" w:cs="Times New Roman"/>
                <w:kern w:val="2"/>
                <w:sz w:val="20"/>
                <w:szCs w:val="22"/>
                <w:lang w:val="en-US" w:eastAsia="zh-CN" w:bidi="ar-SA"/>
              </w:rPr>
              <w:t>地方政府未下达节能量指标；</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4"/>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08</w:t>
            </w:r>
            <w:r>
              <w:rPr>
                <w:rFonts w:hint="eastAsia"/>
                <w:sz w:val="20"/>
                <w:szCs w:val="22"/>
              </w:rPr>
              <w:t>月</w:t>
            </w:r>
          </w:p>
          <w:p>
            <w:pPr>
              <w:pStyle w:val="4"/>
              <w:spacing w:line="400" w:lineRule="exact"/>
              <w:ind w:firstLine="0"/>
              <w:rPr>
                <w:rFonts w:ascii="宋体" w:hAnsi="宋体"/>
                <w:b/>
                <w:color w:val="000000"/>
                <w:sz w:val="24"/>
                <w:szCs w:val="24"/>
              </w:rPr>
            </w:pPr>
            <w:r>
              <w:rPr>
                <w:rFonts w:hint="eastAsia"/>
                <w:sz w:val="20"/>
                <w:szCs w:val="22"/>
                <w:u w:val="single"/>
                <w:lang w:val="en-US" w:eastAsia="zh-CN"/>
              </w:rPr>
              <w:t>13</w:t>
            </w:r>
            <w:r>
              <w:rPr>
                <w:rFonts w:hint="eastAsia"/>
                <w:sz w:val="20"/>
                <w:szCs w:val="22"/>
              </w:rPr>
              <w:t>日</w:t>
            </w:r>
          </w:p>
        </w:tc>
        <w:tc>
          <w:tcPr>
            <w:tcW w:w="4155" w:type="dxa"/>
            <w:noWrap w:val="0"/>
            <w:vAlign w:val="top"/>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415" w:type="dxa"/>
            <w:vMerge w:val="restart"/>
            <w:noWrap w:val="0"/>
            <w:vAlign w:val="center"/>
          </w:tcPr>
          <w:p>
            <w:pPr>
              <w:pStyle w:val="4"/>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1、常州市新北区国家环保产业园环保一路9号的常州市范群干燥设备有限公司</w:t>
            </w:r>
          </w:p>
          <w:p>
            <w:pPr>
              <w:pStyle w:val="4"/>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2、主要生产系统：生产部（包含：电焊车间，机加工车间，主机管道车间，电工车间、军工车间）。</w:t>
            </w:r>
          </w:p>
          <w:p>
            <w:pPr>
              <w:keepNext w:val="0"/>
              <w:keepLines w:val="0"/>
              <w:widowControl/>
              <w:suppressLineNumbers w:val="0"/>
              <w:jc w:val="both"/>
              <w:textAlignment w:val="center"/>
              <w:rPr>
                <w:rFonts w:ascii="等线" w:hAnsi="等线" w:eastAsia="等线" w:cs="等线"/>
                <w:i w:val="0"/>
                <w:iCs w:val="0"/>
                <w:color w:val="000000"/>
                <w:kern w:val="2"/>
                <w:sz w:val="24"/>
                <w:szCs w:val="24"/>
                <w:u w:val="none"/>
                <w:lang w:val="en-US" w:eastAsia="zh-CN" w:bidi="ar-SA"/>
              </w:rPr>
            </w:pPr>
            <w:r>
              <w:rPr>
                <w:rFonts w:hint="eastAsia" w:ascii="Times New Roman" w:hAnsi="Times New Roman" w:eastAsia="宋体" w:cs="Times New Roman"/>
                <w:sz w:val="20"/>
                <w:szCs w:val="22"/>
                <w:lang w:val="en-US" w:eastAsia="zh-CN"/>
              </w:rPr>
              <w:t>3、辅助生产系统：企管部、设备部、采购部、财务部、技术部。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pStyle w:val="4"/>
              <w:spacing w:line="320" w:lineRule="exact"/>
              <w:ind w:firstLine="0"/>
              <w:rPr>
                <w:rFonts w:hint="default"/>
                <w:b/>
                <w:bCs/>
                <w:sz w:val="20"/>
                <w:lang w:val="en-US" w:eastAsia="zh-CN"/>
              </w:rPr>
            </w:pPr>
            <w:r>
              <w:rPr>
                <w:rFonts w:hint="eastAsia"/>
                <w:b/>
                <w:bCs/>
                <w:sz w:val="20"/>
                <w:lang w:val="en-US" w:eastAsia="zh-CN"/>
              </w:rPr>
              <w:t>产量：138台</w:t>
            </w:r>
          </w:p>
          <w:p>
            <w:pPr>
              <w:pStyle w:val="4"/>
              <w:spacing w:line="320" w:lineRule="exact"/>
              <w:ind w:firstLine="0"/>
              <w:rPr>
                <w:rFonts w:hint="default" w:eastAsia="宋体"/>
                <w:b/>
                <w:bCs/>
                <w:sz w:val="20"/>
                <w:lang w:val="en-US" w:eastAsia="zh-CN"/>
              </w:rPr>
            </w:pPr>
            <w:r>
              <w:rPr>
                <w:rFonts w:hint="eastAsia"/>
                <w:b/>
                <w:bCs/>
                <w:sz w:val="20"/>
                <w:lang w:val="en-US" w:eastAsia="zh-CN"/>
              </w:rPr>
              <w:t>产值：21158.61569（万元）</w:t>
            </w:r>
          </w:p>
          <w:p>
            <w:pPr>
              <w:pStyle w:val="4"/>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pStyle w:val="4"/>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lang w:val="en-US" w:eastAsia="zh-CN"/>
              </w:rPr>
              <w:t>151114.071kgce</w:t>
            </w:r>
          </w:p>
          <w:p>
            <w:pPr>
              <w:pStyle w:val="4"/>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rPr>
                <w:rFonts w:hint="eastAsia"/>
                <w:b/>
                <w:bCs/>
                <w:sz w:val="20"/>
                <w:szCs w:val="22"/>
                <w:lang w:val="en-US" w:eastAsia="zh-CN"/>
              </w:rPr>
            </w:pPr>
            <w:r>
              <w:rPr>
                <w:rFonts w:hint="eastAsia"/>
                <w:b/>
                <w:bCs/>
                <w:sz w:val="20"/>
                <w:szCs w:val="22"/>
                <w:lang w:val="en-US" w:eastAsia="zh-CN"/>
              </w:rPr>
              <w:t>单位能耗：单位产品能耗1095.03kgce/台</w:t>
            </w:r>
          </w:p>
          <w:p>
            <w:pPr>
              <w:pStyle w:val="2"/>
              <w:rPr>
                <w:rFonts w:hint="default"/>
                <w:lang w:val="en-US" w:eastAsia="zh-CN"/>
              </w:rPr>
            </w:pPr>
            <w:r>
              <w:rPr>
                <w:rFonts w:hint="eastAsia"/>
                <w:b/>
                <w:bCs/>
                <w:sz w:val="20"/>
                <w:szCs w:val="22"/>
                <w:lang w:val="en-US" w:eastAsia="zh-CN"/>
              </w:rPr>
              <w:t xml:space="preserve">        单位产值能耗7.14kgce/万元</w:t>
            </w:r>
          </w:p>
          <w:p>
            <w:pPr>
              <w:rPr>
                <w:rFonts w:ascii="宋体" w:hAnsi="宋体" w:eastAsia="宋体" w:cs="Times New Roman"/>
                <w:b/>
                <w:color w:val="000000"/>
                <w:kern w:val="2"/>
                <w:sz w:val="24"/>
                <w:szCs w:val="24"/>
                <w:lang w:val="en-US" w:eastAsia="zh-CN" w:bidi="ar-SA"/>
              </w:rPr>
            </w:pP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4"/>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4"/>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4"/>
              <w:spacing w:line="400" w:lineRule="exact"/>
              <w:ind w:firstLine="0"/>
              <w:rPr>
                <w:rFonts w:ascii="宋体" w:hAnsi="宋体"/>
                <w:b/>
                <w:color w:val="000000"/>
                <w:sz w:val="24"/>
                <w:szCs w:val="24"/>
              </w:rPr>
            </w:pPr>
            <w:r>
              <w:rPr>
                <w:rFonts w:hint="eastAsia"/>
                <w:sz w:val="20"/>
                <w:szCs w:val="22"/>
                <w:u w:val="single"/>
                <w:lang w:val="en-US" w:eastAsia="zh-CN"/>
              </w:rPr>
              <w:t>XX~XX</w:t>
            </w:r>
            <w:r>
              <w:rPr>
                <w:rFonts w:hint="eastAsia"/>
                <w:sz w:val="20"/>
                <w:szCs w:val="22"/>
              </w:rPr>
              <w:t>日</w:t>
            </w:r>
          </w:p>
        </w:tc>
        <w:tc>
          <w:tcPr>
            <w:tcW w:w="4155" w:type="dxa"/>
            <w:noWrap w:val="0"/>
            <w:vAlign w:val="top"/>
          </w:tcPr>
          <w:p>
            <w:pPr>
              <w:rPr>
                <w:rFonts w:hint="eastAsia"/>
                <w:sz w:val="20"/>
                <w:szCs w:val="22"/>
              </w:rPr>
            </w:pPr>
            <w:r>
              <w:rPr>
                <w:rFonts w:hint="eastAsia"/>
                <w:b/>
                <w:bCs/>
                <w:sz w:val="20"/>
                <w:szCs w:val="22"/>
              </w:rPr>
              <w:t>能耗统计期：</w:t>
            </w:r>
          </w:p>
          <w:p>
            <w:pPr>
              <w:pStyle w:val="4"/>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3415" w:type="dxa"/>
            <w:vMerge w:val="restart"/>
            <w:noWrap w:val="0"/>
            <w:vAlign w:val="top"/>
          </w:tcPr>
          <w:p>
            <w:pPr>
              <w:pStyle w:val="4"/>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pStyle w:val="4"/>
              <w:spacing w:line="320" w:lineRule="exact"/>
              <w:ind w:firstLine="0"/>
              <w:rPr>
                <w:rFonts w:hint="default" w:eastAsia="宋体"/>
                <w:b/>
                <w:bCs/>
                <w:sz w:val="20"/>
                <w:lang w:val="en-US" w:eastAsia="zh-CN"/>
              </w:rPr>
            </w:pPr>
            <w:r>
              <w:rPr>
                <w:rFonts w:hint="eastAsia"/>
                <w:b/>
                <w:bCs/>
                <w:sz w:val="20"/>
                <w:lang w:val="en-US" w:eastAsia="zh-CN"/>
              </w:rPr>
              <w:t>产量或产值：</w:t>
            </w:r>
          </w:p>
          <w:p>
            <w:pPr>
              <w:pStyle w:val="4"/>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pStyle w:val="4"/>
              <w:spacing w:line="320" w:lineRule="exact"/>
              <w:ind w:firstLine="0"/>
              <w:rPr>
                <w:rFonts w:hint="eastAsia"/>
                <w:b/>
                <w:bCs/>
                <w:sz w:val="20"/>
                <w:szCs w:val="22"/>
                <w:lang w:val="zh-CN"/>
              </w:rPr>
            </w:pPr>
            <w:r>
              <w:rPr>
                <w:rFonts w:hint="eastAsia"/>
                <w:b/>
                <w:bCs/>
                <w:sz w:val="20"/>
                <w:szCs w:val="22"/>
                <w:lang w:val="zh-CN"/>
              </w:rPr>
              <w:t>综合能耗：</w:t>
            </w:r>
          </w:p>
          <w:p>
            <w:pPr>
              <w:pStyle w:val="4"/>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kern w:val="2"/>
                <w:sz w:val="24"/>
                <w:szCs w:val="24"/>
                <w:lang w:val="en-US" w:eastAsia="zh-CN" w:bidi="ar-SA"/>
              </w:rPr>
            </w:pPr>
          </w:p>
        </w:tc>
        <w:tc>
          <w:tcPr>
            <w:tcW w:w="3415" w:type="dxa"/>
            <w:vMerge w:val="continue"/>
            <w:noWrap w:val="0"/>
            <w:vAlign w:val="top"/>
          </w:tcPr>
          <w:p>
            <w:pPr>
              <w:pStyle w:val="4"/>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36" w:type="dxa"/>
            <w:vMerge w:val="continue"/>
            <w:noWrap w:val="0"/>
            <w:vAlign w:val="top"/>
          </w:tcPr>
          <w:p>
            <w:pPr>
              <w:pStyle w:val="4"/>
              <w:spacing w:line="400" w:lineRule="exact"/>
              <w:ind w:firstLine="0"/>
              <w:rPr>
                <w:rFonts w:hint="eastAsia"/>
                <w:sz w:val="20"/>
                <w:szCs w:val="22"/>
              </w:rPr>
            </w:pPr>
          </w:p>
        </w:tc>
        <w:tc>
          <w:tcPr>
            <w:tcW w:w="415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3415" w:type="dxa"/>
            <w:vMerge w:val="continue"/>
            <w:noWrap w:val="0"/>
            <w:vAlign w:val="top"/>
          </w:tcPr>
          <w:p>
            <w:pPr>
              <w:pStyle w:val="4"/>
              <w:spacing w:line="320" w:lineRule="exact"/>
              <w:ind w:firstLine="0"/>
              <w:rPr>
                <w:rFonts w:hint="eastAsia"/>
                <w:sz w:val="20"/>
              </w:rPr>
            </w:pPr>
          </w:p>
        </w:tc>
      </w:tr>
    </w:tbl>
    <w:p>
      <w:pPr>
        <w:pStyle w:val="4"/>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hOTUxOWU4NmEyZTY3NTg5Zjg0ZDY5NTZmMzA5NGQifQ=="/>
  </w:docVars>
  <w:rsids>
    <w:rsidRoot w:val="00000000"/>
    <w:rsid w:val="2B7F4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rPr>
      <w:sz w:val="24"/>
    </w:rPr>
  </w:style>
  <w:style w:type="paragraph" w:styleId="4">
    <w:name w:val="Body Text Indent"/>
    <w:basedOn w:val="1"/>
    <w:link w:val="10"/>
    <w:qFormat/>
    <w:uiPriority w:val="0"/>
    <w:pPr>
      <w:snapToGrid w:val="0"/>
      <w:spacing w:line="336" w:lineRule="auto"/>
      <w:ind w:firstLine="630"/>
    </w:pPr>
    <w:rPr>
      <w:sz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4"/>
    <w:qFormat/>
    <w:uiPriority w:val="0"/>
    <w:rPr>
      <w:rFonts w:ascii="Times New Roman" w:hAnsi="Times New Roman" w:eastAsia="宋体" w:cs="Times New Roman"/>
      <w:sz w:val="32"/>
      <w:szCs w:val="2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1231</Words>
  <Characters>2097</Characters>
  <Lines>18</Lines>
  <Paragraphs>5</Paragraphs>
  <TotalTime>0</TotalTime>
  <ScaleCrop>false</ScaleCrop>
  <LinksUpToDate>false</LinksUpToDate>
  <CharactersWithSpaces>2312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2022-08-13T02:12:25Z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