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浙江新地里农产品有限公司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（HACCP体系）认证要求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bookmarkStart w:id="13" w:name="_GoBack"/>
            <w:bookmarkEnd w:id="13"/>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0584-2021-H-2022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 xml:space="preserve"> </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bookmarkStart w:id="12" w:name="监督勾选"/>
            <w:r>
              <w:rPr>
                <w:rFonts w:hint="eastAsia"/>
                <w:sz w:val="22"/>
                <w:szCs w:val="22"/>
              </w:rPr>
              <w:t>■</w:t>
            </w:r>
            <w:bookmarkEnd w:id="12"/>
            <w:r>
              <w:rPr>
                <w:rFonts w:hint="eastAsia"/>
                <w:sz w:val="22"/>
                <w:szCs w:val="22"/>
                <w:lang w:val="en-US" w:eastAsia="zh-CN"/>
              </w:rPr>
              <w:t>监审第一次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肖新龙</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7C5945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2022-07-05T00:53:25Z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