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重庆恒能电力设备有限公司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朱莹婷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公司于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2022年1月10日</w:t>
            </w:r>
            <w:r>
              <w:rPr>
                <w:rFonts w:hint="eastAsia" w:ascii="方正仿宋简体" w:eastAsia="方正仿宋简体"/>
                <w:b/>
              </w:rPr>
              <w:t>进行了文件换版，不能提供换版前文件的作废处理记录。不符合标准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为控制成文信息，适用时，组织应进行下列活动 d)保留和处置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为了控制文件化信息，组织应进行以下适用的活动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—保留和处置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适用时，组织应针对下列活动来控制文件化信息—保留和处置”相关要求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bookmarkStart w:id="16" w:name="_GoBack"/>
            <w:bookmarkEnd w:id="16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0340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556</Characters>
  <Lines>6</Lines>
  <Paragraphs>1</Paragraphs>
  <TotalTime>1</TotalTime>
  <ScaleCrop>false</ScaleCrop>
  <LinksUpToDate>false</LinksUpToDate>
  <CharactersWithSpaces>820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2022-06-14T06:46:58Z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