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0778-2022-EnMS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无锡市东盛物业管理有限公司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无锡市东盛物业管理有限公司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无锡市锡山区东亭街道二泉东路177-301</w:t>
            </w:r>
            <w:bookmarkEnd w:id="6"/>
          </w:p>
        </w:tc>
        <w:tc>
          <w:tcPr>
            <w:tcW w:w="1242" w:type="dxa"/>
            <w:vMerge w:val="restart"/>
            <w:vAlign w:val="center"/>
          </w:tcPr>
          <w:p>
            <w:r>
              <w:rPr>
                <w:rFonts w:hint="eastAsia"/>
              </w:rPr>
              <w:t>邮编</w:t>
            </w:r>
          </w:p>
        </w:tc>
        <w:tc>
          <w:tcPr>
            <w:tcW w:w="1771" w:type="dxa"/>
          </w:tcPr>
          <w:p>
            <w:bookmarkStart w:id="7" w:name="注册邮编"/>
            <w:r>
              <w:t>214000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江苏省无锡市锡山区东亭街道二泉东路177-301</w:t>
            </w:r>
            <w:bookmarkEnd w:id="8"/>
          </w:p>
        </w:tc>
        <w:tc>
          <w:tcPr>
            <w:tcW w:w="1242" w:type="dxa"/>
            <w:vMerge w:val="continue"/>
            <w:vAlign w:val="center"/>
          </w:tcPr>
          <w:p/>
        </w:tc>
        <w:tc>
          <w:tcPr>
            <w:tcW w:w="1771" w:type="dxa"/>
          </w:tcPr>
          <w:p>
            <w:bookmarkStart w:id="9" w:name="办公邮编"/>
            <w:r>
              <w:t>214000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皋媛媛</w:t>
            </w:r>
            <w:bookmarkEnd w:id="10"/>
          </w:p>
        </w:tc>
        <w:tc>
          <w:tcPr>
            <w:tcW w:w="1313" w:type="dxa"/>
            <w:vAlign w:val="center"/>
          </w:tcPr>
          <w:p>
            <w:r>
              <w:rPr>
                <w:rFonts w:hint="eastAsia"/>
              </w:rPr>
              <w:t>电话.</w:t>
            </w:r>
          </w:p>
        </w:tc>
        <w:tc>
          <w:tcPr>
            <w:tcW w:w="2180" w:type="dxa"/>
            <w:vAlign w:val="center"/>
          </w:tcPr>
          <w:p>
            <w:bookmarkStart w:id="11" w:name="联系人电话"/>
            <w:r>
              <w:t>13861714715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王瑶</w:t>
            </w:r>
            <w:bookmarkEnd w:id="13"/>
          </w:p>
        </w:tc>
        <w:tc>
          <w:tcPr>
            <w:tcW w:w="1313" w:type="dxa"/>
            <w:vAlign w:val="center"/>
          </w:tcPr>
          <w:p>
            <w:r>
              <w:rPr>
                <w:rFonts w:hint="eastAsia"/>
              </w:rPr>
              <w:t>管理者代表</w:t>
            </w:r>
          </w:p>
        </w:tc>
        <w:tc>
          <w:tcPr>
            <w:tcW w:w="2180" w:type="dxa"/>
          </w:tcPr>
          <w:p>
            <w:bookmarkStart w:id="14" w:name="管理者代表"/>
            <w:r>
              <w:t>皋媛媛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w:t>
            </w:r>
            <w:r>
              <w:rPr>
                <w:rFonts w:hint="eastAsia"/>
              </w:rPr>
              <w:sym w:font="Wingdings 2" w:char="0052"/>
            </w:r>
            <w:r>
              <w:rPr>
                <w:rFonts w:hint="eastAsia"/>
              </w:rPr>
              <w:t>双班</w:t>
            </w:r>
            <w:r>
              <w:rPr>
                <w:rFonts w:hint="eastAsia"/>
                <w:lang w:eastAsia="zh-CN"/>
              </w:rPr>
              <w:t>（</w:t>
            </w:r>
            <w:r>
              <w:rPr>
                <w:rFonts w:hint="eastAsia"/>
                <w:lang w:val="en-US" w:eastAsia="zh-CN"/>
              </w:rPr>
              <w:t>保安</w:t>
            </w:r>
            <w:r>
              <w:rPr>
                <w:rFonts w:hint="eastAsia"/>
                <w:lang w:eastAsia="zh-CN"/>
              </w:rPr>
              <w:t>）</w:t>
            </w:r>
            <w:r>
              <w:rPr>
                <w:rFonts w:hint="eastAsia"/>
              </w:rPr>
              <w:t>□三班□其他</w:t>
            </w:r>
          </w:p>
          <w:p>
            <w:r>
              <w:rPr>
                <w:rFonts w:hint="eastAsia"/>
                <w:highlight w:val="cyan"/>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Times New Roman" w:hAnsi="Times New Roman" w:cs="Times New Roman"/>
                <w:b/>
                <w:sz w:val="20"/>
                <w:szCs w:val="22"/>
              </w:rPr>
            </w:pPr>
            <w:r>
              <w:rPr>
                <w:rFonts w:hint="eastAsia" w:ascii="Times New Roman" w:hAnsi="Times New Roman" w:cs="Times New Roman"/>
                <w:b/>
                <w:sz w:val="20"/>
                <w:szCs w:val="22"/>
              </w:rPr>
              <w:t>服务过程策划→投标洽谈→签到合同→人员配置→提供物业服务→处理投诉、业主回访→评价、改进服务质量；</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2022年07月02日 上午至2022年07月04日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ascii="宋体" w:hAnsi="宋体"/>
                <w:b/>
                <w:color w:val="000000"/>
                <w:szCs w:val="21"/>
                <w:lang w:val="en-US" w:eastAsia="zh-CN"/>
              </w:rPr>
            </w:pPr>
            <w:r>
              <w:rPr>
                <w:rFonts w:hint="eastAsia"/>
                <w:lang w:val="de-DE"/>
              </w:rPr>
              <w:sym w:font="Wingdings 2" w:char="0052"/>
            </w:r>
            <w:r>
              <w:rPr>
                <w:rFonts w:hint="eastAsia" w:ascii="宋体" w:hAnsi="宋体"/>
                <w:b/>
                <w:color w:val="000000"/>
                <w:szCs w:val="21"/>
                <w:lang w:val="de-DE"/>
              </w:rPr>
              <w:t>RB</w:t>
            </w:r>
            <w:r>
              <w:rPr>
                <w:rFonts w:hint="eastAsia" w:ascii="宋体" w:hAnsi="宋体"/>
                <w:b/>
                <w:color w:val="000000"/>
                <w:szCs w:val="21"/>
                <w:lang w:val="en-US" w:eastAsia="zh-CN"/>
              </w:rPr>
              <w:t>/T107-2013</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河北省石家庄市/湖北省荆州市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物业管理服务涉及相关能源管理活动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77"/>
        <w:gridCol w:w="1161"/>
        <w:gridCol w:w="1885"/>
        <w:gridCol w:w="158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677" w:type="dxa"/>
            <w:shd w:val="clear" w:color="auto" w:fill="F3F3F3"/>
            <w:tcMar>
              <w:left w:w="57" w:type="dxa"/>
              <w:right w:w="57" w:type="dxa"/>
            </w:tcMar>
          </w:tcPr>
          <w:p>
            <w:r>
              <w:rPr>
                <w:rFonts w:hint="eastAsia"/>
              </w:rPr>
              <w:t>经营场所的地址</w:t>
            </w:r>
          </w:p>
          <w:p>
            <w:r>
              <w:rPr>
                <w:rFonts w:hint="eastAsia"/>
              </w:rPr>
              <w:t>（多现场和临时现场）</w:t>
            </w:r>
          </w:p>
        </w:tc>
        <w:tc>
          <w:tcPr>
            <w:tcW w:w="1161" w:type="dxa"/>
            <w:shd w:val="clear" w:color="auto" w:fill="F3F3F3"/>
            <w:tcMar>
              <w:left w:w="57" w:type="dxa"/>
              <w:right w:w="57" w:type="dxa"/>
            </w:tcMar>
          </w:tcPr>
          <w:p>
            <w:r>
              <w:rPr>
                <w:rFonts w:hint="eastAsia"/>
              </w:rPr>
              <w:t>员工人数</w:t>
            </w:r>
          </w:p>
        </w:tc>
        <w:tc>
          <w:tcPr>
            <w:tcW w:w="1885"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58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无锡市东盛物业管理有限公司</w:t>
            </w:r>
            <w:r>
              <w:rPr>
                <w:rFonts w:hint="eastAsia"/>
                <w:sz w:val="21"/>
                <w:szCs w:val="21"/>
                <w:lang w:val="en-US" w:eastAsia="zh-CN"/>
              </w:rPr>
              <w:t>/</w:t>
            </w:r>
            <w:r>
              <w:rPr>
                <w:sz w:val="21"/>
                <w:szCs w:val="21"/>
              </w:rPr>
              <w:t>无锡市锡山区东亭街道二泉东路177-301</w:t>
            </w:r>
          </w:p>
        </w:tc>
        <w:tc>
          <w:tcPr>
            <w:tcW w:w="1677" w:type="dxa"/>
            <w:vAlign w:val="top"/>
          </w:tcPr>
          <w:p>
            <w:pPr>
              <w:spacing w:before="40" w:after="40"/>
              <w:rPr>
                <w:lang w:val="de-DE" w:eastAsia="ja-JP"/>
              </w:rPr>
            </w:pPr>
            <w:r>
              <w:rPr>
                <w:sz w:val="21"/>
                <w:szCs w:val="21"/>
              </w:rPr>
              <w:t>江苏省无锡市锡山区东亭街道二泉东路177-301</w:t>
            </w:r>
          </w:p>
        </w:tc>
        <w:tc>
          <w:tcPr>
            <w:tcW w:w="1161" w:type="dxa"/>
            <w:vAlign w:val="center"/>
          </w:tcPr>
          <w:p>
            <w:pPr>
              <w:spacing w:before="40" w:after="40"/>
              <w:rPr>
                <w:lang w:eastAsia="ja-JP"/>
              </w:rPr>
            </w:pPr>
            <w:r>
              <w:rPr>
                <w:rFonts w:hint="eastAsia" w:eastAsia="黑体"/>
                <w:szCs w:val="21"/>
                <w:lang w:val="en-US" w:eastAsia="zh-CN"/>
              </w:rPr>
              <w:t>85人（能源体系27人）</w:t>
            </w:r>
          </w:p>
        </w:tc>
        <w:tc>
          <w:tcPr>
            <w:tcW w:w="1885" w:type="dxa"/>
            <w:vAlign w:val="center"/>
          </w:tcPr>
          <w:p>
            <w:pPr>
              <w:pStyle w:val="23"/>
              <w:rPr>
                <w:lang w:eastAsia="ja-JP"/>
              </w:rPr>
            </w:pPr>
            <w:r>
              <w:rPr>
                <w:rFonts w:hint="eastAsia" w:ascii="Times New Roman" w:hAnsi="Times New Roman" w:eastAsia="宋体" w:cs="Times New Roman"/>
                <w:kern w:val="2"/>
                <w:sz w:val="21"/>
                <w:szCs w:val="21"/>
                <w:lang w:val="en-US" w:eastAsia="zh-CN" w:bidi="ar-SA"/>
              </w:rPr>
              <w:t>物业管理服务所涉及的能源管理活动；</w:t>
            </w:r>
          </w:p>
        </w:tc>
        <w:tc>
          <w:tcPr>
            <w:tcW w:w="1587"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lang w:eastAsia="ja-JP"/>
              </w:rPr>
            </w:pPr>
            <w:r>
              <w:rPr>
                <w:rFonts w:hint="eastAsia" w:eastAsia="黑体"/>
                <w:szCs w:val="21"/>
                <w:lang w:val="en-US" w:eastAsia="zh-CN"/>
              </w:rPr>
              <w:t>RB/T107-2013</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spacing w:before="40" w:after="40"/>
              <w:rPr>
                <w:lang w:eastAsia="ja-JP"/>
              </w:rPr>
            </w:pPr>
          </w:p>
        </w:tc>
        <w:tc>
          <w:tcPr>
            <w:tcW w:w="1677" w:type="dxa"/>
            <w:vAlign w:val="center"/>
          </w:tcPr>
          <w:p>
            <w:pPr>
              <w:spacing w:before="40" w:after="40"/>
              <w:rPr>
                <w:lang w:eastAsia="ja-JP"/>
              </w:rPr>
            </w:pPr>
            <w:r>
              <w:rPr>
                <w:rFonts w:hint="eastAsia" w:eastAsia="黑体"/>
                <w:szCs w:val="21"/>
                <w:lang w:val="en-US" w:eastAsia="zh-CN"/>
              </w:rPr>
              <w:t>多场所：</w:t>
            </w:r>
            <w:r>
              <w:rPr>
                <w:rFonts w:hint="eastAsia" w:ascii="宋体" w:hAnsi="宋体"/>
                <w:color w:val="000000"/>
                <w:sz w:val="21"/>
              </w:rPr>
              <w:t>隆亭新苑（地址：江苏省无锡市锡山区东亭锡沪东路12号）</w:t>
            </w:r>
          </w:p>
        </w:tc>
        <w:tc>
          <w:tcPr>
            <w:tcW w:w="1161" w:type="dxa"/>
            <w:vAlign w:val="center"/>
          </w:tcPr>
          <w:p>
            <w:pPr>
              <w:spacing w:before="40" w:after="40"/>
              <w:rPr>
                <w:lang w:eastAsia="ja-JP"/>
              </w:rPr>
            </w:pPr>
            <w:r>
              <w:rPr>
                <w:rFonts w:hint="eastAsia" w:eastAsia="黑体"/>
                <w:szCs w:val="21"/>
                <w:lang w:val="en-US" w:eastAsia="zh-CN"/>
              </w:rPr>
              <w:t>25人</w:t>
            </w:r>
          </w:p>
        </w:tc>
        <w:tc>
          <w:tcPr>
            <w:tcW w:w="1885" w:type="dxa"/>
            <w:vAlign w:val="center"/>
          </w:tcPr>
          <w:p>
            <w:pPr>
              <w:spacing w:before="40" w:after="40"/>
              <w:rPr>
                <w:lang w:eastAsia="ja-JP"/>
              </w:rPr>
            </w:pPr>
            <w:r>
              <w:rPr>
                <w:rFonts w:hint="eastAsia" w:ascii="Times New Roman" w:hAnsi="Times New Roman" w:eastAsia="宋体" w:cs="Times New Roman"/>
                <w:kern w:val="2"/>
                <w:sz w:val="21"/>
                <w:szCs w:val="21"/>
                <w:lang w:val="en-US" w:eastAsia="zh-CN" w:bidi="ar-SA"/>
              </w:rPr>
              <w:t>物业管理服务所涉及的能源管理活动</w:t>
            </w:r>
          </w:p>
        </w:tc>
        <w:tc>
          <w:tcPr>
            <w:tcW w:w="1587"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lang w:eastAsia="ja-JP"/>
              </w:rPr>
            </w:pPr>
            <w:r>
              <w:rPr>
                <w:rFonts w:hint="eastAsia" w:eastAsia="黑体"/>
                <w:szCs w:val="21"/>
                <w:lang w:val="en-US" w:eastAsia="zh-CN"/>
              </w:rPr>
              <w:t>RB/T107-2013</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677" w:type="dxa"/>
            <w:vAlign w:val="center"/>
          </w:tcPr>
          <w:p>
            <w:pPr>
              <w:rPr>
                <w:lang w:eastAsia="ja-JP"/>
              </w:rPr>
            </w:pPr>
          </w:p>
        </w:tc>
        <w:tc>
          <w:tcPr>
            <w:tcW w:w="1161" w:type="dxa"/>
            <w:vAlign w:val="center"/>
          </w:tcPr>
          <w:p>
            <w:pPr>
              <w:rPr>
                <w:lang w:eastAsia="ja-JP"/>
              </w:rPr>
            </w:pPr>
          </w:p>
        </w:tc>
        <w:tc>
          <w:tcPr>
            <w:tcW w:w="1885" w:type="dxa"/>
            <w:vAlign w:val="center"/>
          </w:tcPr>
          <w:p>
            <w:pPr>
              <w:rPr>
                <w:lang w:eastAsia="ja-JP"/>
              </w:rPr>
            </w:pPr>
          </w:p>
        </w:tc>
        <w:tc>
          <w:tcPr>
            <w:tcW w:w="158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677" w:type="dxa"/>
            <w:vAlign w:val="center"/>
          </w:tcPr>
          <w:p>
            <w:pPr>
              <w:rPr>
                <w:lang w:eastAsia="ja-JP"/>
              </w:rPr>
            </w:pPr>
          </w:p>
        </w:tc>
        <w:tc>
          <w:tcPr>
            <w:tcW w:w="1161" w:type="dxa"/>
            <w:vAlign w:val="center"/>
          </w:tcPr>
          <w:p>
            <w:pPr>
              <w:rPr>
                <w:lang w:eastAsia="ja-JP"/>
              </w:rPr>
            </w:pPr>
          </w:p>
        </w:tc>
        <w:tc>
          <w:tcPr>
            <w:tcW w:w="1885" w:type="dxa"/>
            <w:vAlign w:val="center"/>
          </w:tcPr>
          <w:p>
            <w:pPr>
              <w:rPr>
                <w:lang w:eastAsia="ja-JP"/>
              </w:rPr>
            </w:pPr>
          </w:p>
        </w:tc>
        <w:tc>
          <w:tcPr>
            <w:tcW w:w="158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677" w:type="dxa"/>
            <w:vAlign w:val="center"/>
          </w:tcPr>
          <w:p>
            <w:pPr>
              <w:rPr>
                <w:lang w:eastAsia="ja-JP"/>
              </w:rPr>
            </w:pPr>
          </w:p>
        </w:tc>
        <w:tc>
          <w:tcPr>
            <w:tcW w:w="1161" w:type="dxa"/>
            <w:vAlign w:val="center"/>
          </w:tcPr>
          <w:p>
            <w:pPr>
              <w:rPr>
                <w:lang w:eastAsia="ja-JP"/>
              </w:rPr>
            </w:pPr>
          </w:p>
        </w:tc>
        <w:tc>
          <w:tcPr>
            <w:tcW w:w="1885" w:type="dxa"/>
            <w:vAlign w:val="center"/>
          </w:tcPr>
          <w:p>
            <w:pPr>
              <w:rPr>
                <w:lang w:eastAsia="ja-JP"/>
              </w:rPr>
            </w:pPr>
          </w:p>
        </w:tc>
        <w:tc>
          <w:tcPr>
            <w:tcW w:w="1587"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宋翠琳</w:t>
            </w:r>
          </w:p>
        </w:tc>
        <w:tc>
          <w:tcPr>
            <w:tcW w:w="1089" w:type="dxa"/>
            <w:vAlign w:val="center"/>
          </w:tcPr>
          <w:p>
            <w:r>
              <w:t>组员</w:t>
            </w:r>
          </w:p>
        </w:tc>
        <w:tc>
          <w:tcPr>
            <w:tcW w:w="711" w:type="dxa"/>
            <w:vAlign w:val="center"/>
          </w:tcPr>
          <w:p>
            <w:r>
              <w:t>女</w:t>
            </w:r>
          </w:p>
        </w:tc>
        <w:tc>
          <w:tcPr>
            <w:tcW w:w="3870" w:type="dxa"/>
            <w:vAlign w:val="center"/>
          </w:tcPr>
          <w:p>
            <w:r>
              <w:t>2022-N1EnMS-1082241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77470</wp:posOffset>
                  </wp:positionV>
                  <wp:extent cx="777240" cy="234950"/>
                  <wp:effectExtent l="0" t="0" r="0" b="5715"/>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777240" cy="234950"/>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A3"/>
            </w:r>
            <w:r>
              <w:rPr>
                <w:rFonts w:hint="eastAsia"/>
              </w:rPr>
              <w:t>生产</w:t>
            </w:r>
            <w:r>
              <w:rPr>
                <w:rFonts w:hint="eastAsia"/>
              </w:rPr>
              <w:sym w:font="Wingdings 2" w:char="00A3"/>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A3"/>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A3"/>
            </w:r>
            <w:r>
              <w:rPr>
                <w:rFonts w:hint="eastAsia"/>
              </w:rPr>
              <w:t>能效监测</w:t>
            </w:r>
            <w:r>
              <w:rPr>
                <w:rFonts w:hint="eastAsia"/>
              </w:rPr>
              <w:sym w:font="Wingdings 2" w:char="0052"/>
            </w:r>
            <w:r>
              <w:rPr>
                <w:rFonts w:hint="eastAsia"/>
              </w:rPr>
              <w:t>设备维修</w:t>
            </w:r>
            <w:r>
              <w:rPr>
                <w:rFonts w:hint="eastAsia"/>
              </w:rPr>
              <w:sym w:font="Wingdings 2" w:char="00A3"/>
            </w:r>
            <w:r>
              <w:rPr>
                <w:rFonts w:hint="eastAsia"/>
              </w:rPr>
              <w:t>人员培训</w:t>
            </w:r>
            <w:r>
              <w:rPr>
                <w:rFonts w:hint="eastAsia"/>
              </w:rPr>
              <w:sym w:font="Wingdings 2" w:char="0052"/>
            </w:r>
            <w:r>
              <w:rPr>
                <w:rFonts w:hint="eastAsia"/>
              </w:rPr>
              <w:t>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行政中心 </w:t>
            </w:r>
            <w:r>
              <w:rPr>
                <w:rFonts w:hint="eastAsia"/>
              </w:rPr>
              <w:sym w:font="Wingdings 2" w:char="0052"/>
            </w:r>
            <w:r>
              <w:rPr>
                <w:rFonts w:hint="eastAsia"/>
              </w:rPr>
              <w:t>能源管理团队</w:t>
            </w:r>
            <w:r>
              <w:rPr>
                <w:rFonts w:hint="eastAsia"/>
                <w:lang w:eastAsia="zh-CN"/>
              </w:rPr>
              <w:t>——</w:t>
            </w:r>
            <w:r>
              <w:rPr>
                <w:rFonts w:hint="eastAsia"/>
                <w:lang w:val="en-US" w:eastAsia="zh-CN"/>
              </w:rPr>
              <w:t>运营中心</w:t>
            </w:r>
          </w:p>
          <w:p>
            <w:pPr>
              <w:shd w:val="clear" w:color="auto" w:fill="EBF1DE" w:themeFill="accent3" w:themeFillTint="32"/>
              <w:rPr>
                <w:rFonts w:hint="eastAsia" w:eastAsia="宋体"/>
                <w:lang w:val="en-US" w:eastAsia="zh-CN"/>
              </w:rPr>
            </w:pPr>
            <w:r>
              <w:rPr>
                <w:rFonts w:hint="eastAsia"/>
              </w:rPr>
              <w:t>能源管理团队负责人是——</w:t>
            </w:r>
            <w:r>
              <w:rPr>
                <w:rFonts w:hint="eastAsia"/>
                <w:highlight w:val="none"/>
                <w:lang w:val="en-US" w:eastAsia="zh-CN"/>
              </w:rPr>
              <w:t>皋媛媛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A3"/>
            </w:r>
            <w:r>
              <w:rPr>
                <w:rFonts w:hint="eastAsia"/>
              </w:rPr>
              <w:t>天然气□燃料油□燃料气</w:t>
            </w:r>
            <w:r>
              <w:rPr>
                <w:rFonts w:hint="eastAsia"/>
              </w:rPr>
              <w:sym w:font="Wingdings 2" w:char="0052"/>
            </w:r>
            <w:r>
              <w:rPr>
                <w:rFonts w:hint="eastAsia"/>
              </w:rPr>
              <w:t>电力</w:t>
            </w:r>
            <w:r>
              <w:rPr>
                <w:rFonts w:hint="eastAsia"/>
              </w:rPr>
              <w:sym w:font="Wingdings 2" w:char="00A3"/>
            </w:r>
            <w:r>
              <w:rPr>
                <w:rFonts w:hint="eastAsia"/>
              </w:rPr>
              <w:t>氮气□风</w:t>
            </w:r>
            <w:r>
              <w:rPr>
                <w:rFonts w:hint="eastAsia"/>
              </w:rPr>
              <w:sym w:font="Wingdings 2" w:char="0052"/>
            </w:r>
            <w:r>
              <w:rPr>
                <w:rFonts w:hint="eastAsia"/>
              </w:rPr>
              <w:t>新鲜水□各种品质水</w:t>
            </w:r>
          </w:p>
          <w:p>
            <w:pPr>
              <w:jc w:val="left"/>
              <w:rPr>
                <w:rFonts w:hint="default" w:eastAsia="宋体"/>
                <w:lang w:val="en-US" w:eastAsia="zh-CN"/>
              </w:rPr>
            </w:pPr>
            <w:r>
              <w:rPr>
                <w:rFonts w:hint="eastAsia"/>
              </w:rPr>
              <w:sym w:font="Wingdings 2" w:char="00A3"/>
            </w:r>
            <w:r>
              <w:rPr>
                <w:rFonts w:hint="eastAsia"/>
              </w:rPr>
              <w:t>其他</w:t>
            </w:r>
            <w:r>
              <w:rPr>
                <w:rFonts w:hint="eastAsia"/>
                <w:lang w:val="en-US" w:eastAsia="zh-CN"/>
              </w:rPr>
              <w:t>汽油、柴油</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2022.3</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12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highlight w:val="yellow"/>
                      <w:lang w:val="en-US" w:eastAsia="zh-CN" w:bidi="ar-SA"/>
                    </w:rPr>
                  </w:pPr>
                  <w:r>
                    <w:rPr>
                      <w:rFonts w:hint="eastAsia" w:ascii="宋体" w:hAnsi="宋体" w:eastAsia="宋体" w:cs="宋体"/>
                      <w:i w:val="0"/>
                      <w:color w:val="000000"/>
                      <w:kern w:val="0"/>
                      <w:sz w:val="22"/>
                      <w:szCs w:val="22"/>
                      <w:u w:val="none"/>
                      <w:lang w:val="en-US" w:eastAsia="zh-CN" w:bidi="ar"/>
                    </w:rPr>
                    <w:t>综合能耗，</w:t>
                  </w:r>
                  <w:r>
                    <w:rPr>
                      <w:rFonts w:hint="eastAsia" w:ascii="宋体" w:hAnsi="宋体" w:cs="宋体"/>
                      <w:i w:val="0"/>
                      <w:color w:val="000000"/>
                      <w:kern w:val="0"/>
                      <w:sz w:val="22"/>
                      <w:szCs w:val="22"/>
                      <w:u w:val="none"/>
                      <w:lang w:val="en-US" w:eastAsia="zh-CN" w:bidi="ar"/>
                    </w:rPr>
                    <w:t>4970</w:t>
                  </w:r>
                  <w:r>
                    <w:rPr>
                      <w:rFonts w:hint="eastAsia" w:ascii="宋体" w:hAnsi="宋体" w:eastAsia="宋体" w:cs="宋体"/>
                      <w:i w:val="0"/>
                      <w:color w:val="000000"/>
                      <w:kern w:val="0"/>
                      <w:sz w:val="22"/>
                      <w:szCs w:val="22"/>
                      <w:u w:val="none"/>
                      <w:lang w:val="en-US" w:eastAsia="zh-CN" w:bidi="ar"/>
                    </w:rPr>
                    <w:t>kgce</w:t>
                  </w:r>
                </w:p>
              </w:tc>
              <w:tc>
                <w:tcPr>
                  <w:tcW w:w="235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加强节能管理</w:t>
                  </w:r>
                </w:p>
              </w:tc>
              <w:tc>
                <w:tcPr>
                  <w:tcW w:w="1126"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GB" w:eastAsia="zh-CN" w:bidi="ar-SA"/>
                    </w:rPr>
                  </w:pPr>
                  <w:r>
                    <w:rPr>
                      <w:rFonts w:hint="eastAsia"/>
                      <w:highlight w:val="none"/>
                      <w:lang w:val="en-US" w:eastAsia="zh-CN"/>
                    </w:rPr>
                    <w:t>行政中心</w:t>
                  </w:r>
                </w:p>
              </w:tc>
              <w:tc>
                <w:tcPr>
                  <w:tcW w:w="2797"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GB" w:eastAsia="zh-CN"/>
                    </w:rPr>
                  </w:pPr>
                  <w:r>
                    <w:rPr>
                      <w:rFonts w:hint="eastAsia" w:ascii="Times New Roman" w:hAnsi="Times New Roman" w:eastAsia="宋体" w:cs="Times New Roman"/>
                      <w:highlight w:val="none"/>
                      <w:lang w:val="en-US" w:eastAsia="zh-CN"/>
                    </w:rPr>
                    <w:t>4961.527——完成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kern w:val="2"/>
                      <w:sz w:val="21"/>
                      <w:szCs w:val="24"/>
                      <w:highlight w:val="yellow"/>
                      <w:lang w:val="en-US" w:eastAsia="zh-CN" w:bidi="ar-SA"/>
                    </w:rPr>
                  </w:pPr>
                  <w:r>
                    <w:rPr>
                      <w:rStyle w:val="27"/>
                      <w:lang w:val="en-US" w:eastAsia="zh-CN" w:bidi="ar"/>
                    </w:rPr>
                    <w:t>总部单位面积综合能耗，</w:t>
                  </w:r>
                  <w:r>
                    <w:rPr>
                      <w:rStyle w:val="27"/>
                      <w:rFonts w:hint="eastAsia"/>
                      <w:lang w:val="en-US" w:eastAsia="zh-CN" w:bidi="ar"/>
                    </w:rPr>
                    <w:t>≤0.23</w:t>
                  </w:r>
                  <w:r>
                    <w:rPr>
                      <w:rStyle w:val="27"/>
                      <w:lang w:val="en-US" w:eastAsia="zh-CN" w:bidi="ar"/>
                    </w:rPr>
                    <w:t>kgce/m</w:t>
                  </w:r>
                  <w:r>
                    <w:rPr>
                      <w:rStyle w:val="28"/>
                      <w:lang w:val="en-US" w:eastAsia="zh-CN" w:bidi="ar"/>
                    </w:rPr>
                    <w:t>2</w:t>
                  </w:r>
                  <w:r>
                    <w:rPr>
                      <w:rStyle w:val="27"/>
                      <w:lang w:val="en-US" w:eastAsia="zh-CN" w:bidi="ar"/>
                    </w:rPr>
                    <w:t xml:space="preserve">·a </w:t>
                  </w:r>
                </w:p>
              </w:tc>
              <w:tc>
                <w:tcPr>
                  <w:tcW w:w="235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加强节能管理</w:t>
                  </w:r>
                </w:p>
              </w:tc>
              <w:tc>
                <w:tcPr>
                  <w:tcW w:w="1126"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行政中心</w:t>
                  </w:r>
                </w:p>
              </w:tc>
              <w:tc>
                <w:tcPr>
                  <w:tcW w:w="2797"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0.</w:t>
                  </w:r>
                  <w:bookmarkStart w:id="34" w:name="_GoBack"/>
                  <w:bookmarkEnd w:id="34"/>
                  <w:r>
                    <w:rPr>
                      <w:rFonts w:hint="eastAsia" w:ascii="Times New Roman" w:hAnsi="Times New Roman" w:eastAsia="宋体" w:cs="Times New Roman"/>
                      <w:highlight w:val="none"/>
                      <w:lang w:val="en-US" w:eastAsia="zh-CN"/>
                    </w:rPr>
                    <w:t>226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highlight w:val="yellow"/>
                    </w:rPr>
                  </w:pPr>
                  <w:r>
                    <w:rPr>
                      <w:rStyle w:val="27"/>
                      <w:lang w:val="en-US" w:eastAsia="zh-CN" w:bidi="ar"/>
                    </w:rPr>
                    <w:t>隆亭新苑项目单位面积综合能耗，</w:t>
                  </w:r>
                  <w:r>
                    <w:rPr>
                      <w:rStyle w:val="27"/>
                      <w:rFonts w:hint="eastAsia"/>
                      <w:lang w:val="en-US" w:eastAsia="zh-CN" w:bidi="ar"/>
                    </w:rPr>
                    <w:t>≤0.034</w:t>
                  </w:r>
                  <w:r>
                    <w:rPr>
                      <w:rStyle w:val="27"/>
                      <w:lang w:val="en-US" w:eastAsia="zh-CN" w:bidi="ar"/>
                    </w:rPr>
                    <w:t>kgce/m</w:t>
                  </w:r>
                  <w:r>
                    <w:rPr>
                      <w:rStyle w:val="28"/>
                      <w:lang w:val="en-US" w:eastAsia="zh-CN" w:bidi="ar"/>
                    </w:rPr>
                    <w:t>2</w:t>
                  </w:r>
                  <w:r>
                    <w:rPr>
                      <w:rStyle w:val="27"/>
                      <w:lang w:val="en-US" w:eastAsia="zh-CN" w:bidi="ar"/>
                    </w:rPr>
                    <w:t xml:space="preserve">·a </w:t>
                  </w:r>
                </w:p>
              </w:tc>
              <w:tc>
                <w:tcPr>
                  <w:tcW w:w="2354" w:type="dxa"/>
                  <w:shd w:val="clear" w:color="auto" w:fill="auto"/>
                  <w:vAlign w:val="center"/>
                </w:tcPr>
                <w:p>
                  <w:pPr>
                    <w:shd w:val="clear" w:color="auto" w:fill="EBF1DE" w:themeFill="accent3" w:themeFillTint="32"/>
                    <w:rPr>
                      <w:rFonts w:hint="default" w:ascii="宋体" w:hAnsi="宋体"/>
                      <w:highlight w:val="none"/>
                      <w:lang w:val="en-US"/>
                    </w:rPr>
                  </w:pPr>
                  <w:r>
                    <w:rPr>
                      <w:rFonts w:hint="eastAsia"/>
                      <w:highlight w:val="none"/>
                      <w:lang w:val="en-US" w:eastAsia="zh-CN"/>
                    </w:rPr>
                    <w:t>加强节能管理</w:t>
                  </w:r>
                </w:p>
              </w:tc>
              <w:tc>
                <w:tcPr>
                  <w:tcW w:w="112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运营中心</w:t>
                  </w:r>
                </w:p>
              </w:tc>
              <w:tc>
                <w:tcPr>
                  <w:tcW w:w="2797"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0.0373 未完成，进行了原因分析。</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w:t>
            </w:r>
            <w:r>
              <w:rPr>
                <w:rFonts w:hint="eastAsia"/>
                <w:highlight w:val="none"/>
                <w:lang w:val="en-US" w:eastAsia="zh-CN"/>
              </w:rPr>
              <w:t>部分</w:t>
            </w:r>
            <w:r>
              <w:rPr>
                <w:rFonts w:hint="eastAsia"/>
                <w:highlight w:val="none"/>
              </w:rPr>
              <w:t>实现</w:t>
            </w:r>
            <w:r>
              <w:rPr>
                <w:rFonts w:hint="eastAsia"/>
                <w:highlight w:val="none"/>
                <w:lang w:eastAsia="zh-CN"/>
              </w:rPr>
              <w:t>，</w:t>
            </w:r>
            <w:r>
              <w:rPr>
                <w:rFonts w:hint="eastAsia"/>
                <w:highlight w:val="none"/>
                <w:lang w:val="en-US" w:eastAsia="zh-CN"/>
              </w:rPr>
              <w:t>单位产品综合能耗和单位产值综合能耗高于指标值。</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highlight w:val="none"/>
                <w:lang w:val="en-US" w:eastAsia="zh-CN"/>
              </w:rPr>
              <w:t>建筑</w:t>
            </w:r>
            <w:r>
              <w:rPr>
                <w:rFonts w:hint="eastAsia"/>
                <w:highlight w:val="none"/>
              </w:rPr>
              <w:t>面积：</w:t>
            </w:r>
            <w:r>
              <w:rPr>
                <w:rFonts w:hint="eastAsia"/>
                <w:highlight w:val="none"/>
                <w:lang w:val="en-US" w:eastAsia="zh-CN"/>
              </w:rPr>
              <w:t>总部857.29</w:t>
            </w:r>
            <w:r>
              <w:rPr>
                <w:rFonts w:hint="eastAsia"/>
                <w:highlight w:val="none"/>
              </w:rPr>
              <w:t>平方，</w:t>
            </w:r>
            <w:r>
              <w:rPr>
                <w:rFonts w:hint="eastAsia"/>
                <w:highlight w:val="none"/>
                <w:lang w:val="en-US" w:eastAsia="zh-CN"/>
              </w:rPr>
              <w:t>隆亭新苑</w:t>
            </w:r>
            <w:r>
              <w:rPr>
                <w:rFonts w:hint="eastAsia"/>
                <w:highlight w:val="none"/>
              </w:rPr>
              <w:t>建筑面积</w:t>
            </w:r>
            <w:r>
              <w:rPr>
                <w:rFonts w:hint="eastAsia" w:ascii="宋体" w:hAnsi="宋体" w:cs="宋体"/>
                <w:b/>
                <w:bCs/>
                <w:kern w:val="0"/>
                <w:sz w:val="18"/>
                <w:szCs w:val="18"/>
                <w:highlight w:val="none"/>
                <w:lang w:val="en-US" w:eastAsia="zh-CN"/>
              </w:rPr>
              <w:t>127843.77</w:t>
            </w:r>
            <w:r>
              <w:rPr>
                <w:rFonts w:hint="eastAsia"/>
                <w:highlight w:val="none"/>
              </w:rPr>
              <w:t>平方米</w:t>
            </w:r>
            <w:r>
              <w:rPr>
                <w:rFonts w:hint="eastAsia"/>
              </w:rPr>
              <w:t>；；库房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风机、变电室、消防泵、电梯</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lang w:val="en-US" w:eastAsia="zh-CN"/>
              </w:rPr>
              <w:t>消防泵、电梯</w:t>
            </w:r>
            <w:r>
              <w:rPr>
                <w:rFonts w:hint="eastAsia"/>
                <w:color w:val="000000"/>
                <w:szCs w:val="22"/>
                <w:u w:val="single"/>
              </w:rPr>
              <w:t>、</w:t>
            </w:r>
            <w:r>
              <w:rPr>
                <w:rFonts w:hint="eastAsia"/>
                <w:color w:val="000000"/>
                <w:szCs w:val="22"/>
                <w:u w:val="single"/>
                <w:lang w:val="en-US" w:eastAsia="zh-CN"/>
              </w:rPr>
              <w:t>变压器等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sym w:font="Wingdings 2" w:char="00A3"/>
            </w:r>
            <w:r>
              <w:rPr>
                <w:rFonts w:hint="eastAsia"/>
              </w:rPr>
              <w:t>锅炉房</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一级计量如电表、水表</w:t>
            </w:r>
            <w:r>
              <w:rPr>
                <w:rFonts w:hint="eastAsia"/>
                <w:highlight w:val="none"/>
                <w:lang w:val="en-US" w:eastAsia="zh-CN"/>
              </w:rPr>
              <w:t>由供方校验</w:t>
            </w:r>
            <w:r>
              <w:rPr>
                <w:rFonts w:hint="eastAsia"/>
                <w:lang w:val="en-US" w:eastAsia="zh-CN"/>
              </w:rPr>
              <w:t>。已与企业进行沟通，建议向供方获取检定或校准资料。内部水表电表未提供校准证据，企业介绍：隆亭新苑，水电表校正，不是物业负责的，由自来水公司和供电局负责。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highlight w:val="none"/>
                <w:u w:val="single"/>
                <w:lang w:val="en-US" w:eastAsia="zh-CN"/>
              </w:rPr>
              <w:t xml:space="preserve">无  </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lang w:val="en-US" w:eastAsia="zh-CN"/>
              </w:rPr>
              <w:t>节能</w:t>
            </w:r>
            <w:r>
              <w:rPr>
                <w:rFonts w:hint="eastAsia"/>
              </w:rPr>
              <w:t>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2021</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20</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20-21</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16</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eastAsia="宋体"/>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C39637"/>
    <w:multiLevelType w:val="singleLevel"/>
    <w:tmpl w:val="ADC39637"/>
    <w:lvl w:ilvl="0" w:tentative="0">
      <w:start w:val="1"/>
      <w:numFmt w:val="bullet"/>
      <w:pStyle w:val="4"/>
      <w:lvlText w:val=""/>
      <w:lvlJc w:val="left"/>
      <w:pPr>
        <w:tabs>
          <w:tab w:val="left" w:pos="2040"/>
        </w:tabs>
        <w:ind w:left="2040" w:hanging="36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4E5773"/>
    <w:rsid w:val="26B76F5C"/>
    <w:rsid w:val="2FFE006B"/>
    <w:rsid w:val="30050E67"/>
    <w:rsid w:val="34153C2E"/>
    <w:rsid w:val="371F2D32"/>
    <w:rsid w:val="42023AB4"/>
    <w:rsid w:val="641E2F05"/>
    <w:rsid w:val="65FF5BF4"/>
    <w:rsid w:val="79E356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style>
  <w:style w:type="paragraph" w:styleId="4">
    <w:name w:val="List Bullet 5"/>
    <w:basedOn w:val="1"/>
    <w:semiHidden/>
    <w:unhideWhenUsed/>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7">
    <w:name w:val="font01"/>
    <w:basedOn w:val="12"/>
    <w:uiPriority w:val="0"/>
    <w:rPr>
      <w:rFonts w:hint="eastAsia" w:ascii="宋体" w:hAnsi="宋体" w:eastAsia="宋体" w:cs="宋体"/>
      <w:color w:val="000000"/>
      <w:sz w:val="22"/>
      <w:szCs w:val="22"/>
      <w:u w:val="none"/>
    </w:rPr>
  </w:style>
  <w:style w:type="character" w:customStyle="1" w:styleId="28">
    <w:name w:val="font2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7</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2022-07-03T11:45:43Z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