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0798-2022-Q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江西诚曜纺织品有限公司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江西诚曜纺织品有限公司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江西省南昌市安义县万埠镇万埠老街</w:t>
            </w:r>
            <w:bookmarkEnd w:id="6"/>
          </w:p>
        </w:tc>
        <w:tc>
          <w:tcPr>
            <w:tcW w:w="1242" w:type="dxa"/>
            <w:vMerge w:val="restart"/>
            <w:vAlign w:val="center"/>
          </w:tcPr>
          <w:p>
            <w:r>
              <w:rPr>
                <w:rFonts w:hint="eastAsia"/>
              </w:rPr>
              <w:t>邮编</w:t>
            </w:r>
          </w:p>
        </w:tc>
        <w:tc>
          <w:tcPr>
            <w:tcW w:w="1771" w:type="dxa"/>
          </w:tcPr>
          <w:p>
            <w:bookmarkStart w:id="7" w:name="注册邮编"/>
            <w:r>
              <w:t>330500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江西省南昌市安义县和强工业园区内</w:t>
            </w:r>
            <w:bookmarkEnd w:id="8"/>
          </w:p>
        </w:tc>
        <w:tc>
          <w:tcPr>
            <w:tcW w:w="1242" w:type="dxa"/>
            <w:vMerge w:val="continue"/>
            <w:vAlign w:val="center"/>
          </w:tcPr>
          <w:p/>
        </w:tc>
        <w:tc>
          <w:tcPr>
            <w:tcW w:w="1771" w:type="dxa"/>
          </w:tcPr>
          <w:p>
            <w:bookmarkStart w:id="9" w:name="办公邮编"/>
            <w:r>
              <w:t>330500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谌摇摇</w:t>
            </w:r>
            <w:bookmarkEnd w:id="10"/>
          </w:p>
        </w:tc>
        <w:tc>
          <w:tcPr>
            <w:tcW w:w="1313" w:type="dxa"/>
            <w:vAlign w:val="center"/>
          </w:tcPr>
          <w:p>
            <w:r>
              <w:rPr>
                <w:rFonts w:hint="eastAsia"/>
              </w:rPr>
              <w:t>电话.</w:t>
            </w:r>
          </w:p>
        </w:tc>
        <w:tc>
          <w:tcPr>
            <w:tcW w:w="2180" w:type="dxa"/>
            <w:vAlign w:val="center"/>
          </w:tcPr>
          <w:p>
            <w:bookmarkStart w:id="11" w:name="联系人电话"/>
            <w:r>
              <w:t>18779861231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谌摇摇</w:t>
            </w:r>
            <w:bookmarkEnd w:id="13"/>
          </w:p>
        </w:tc>
        <w:tc>
          <w:tcPr>
            <w:tcW w:w="1313" w:type="dxa"/>
            <w:vAlign w:val="center"/>
          </w:tcPr>
          <w:p>
            <w:r>
              <w:rPr>
                <w:rFonts w:hint="eastAsia"/>
              </w:rPr>
              <w:t>管理者代表</w:t>
            </w:r>
          </w:p>
        </w:tc>
        <w:tc>
          <w:tcPr>
            <w:tcW w:w="2180" w:type="dxa"/>
          </w:tcPr>
          <w:p>
            <w:bookmarkStart w:id="14" w:name="管理者代表"/>
            <w:r>
              <w:t>谌摇摇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w:t>
            </w:r>
            <w:r>
              <w:rPr>
                <w:rFonts w:hint="eastAsia"/>
              </w:rPr>
              <w:sym w:font="Wingdings 2" w:char="0052"/>
            </w:r>
            <w:r>
              <w:rPr>
                <w:rFonts w:hint="eastAsia"/>
              </w:rPr>
              <w:t>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r>
              <w:rPr>
                <w:rFonts w:hint="eastAsia" w:ascii="Times New Roman" w:hAnsi="Times New Roman" w:eastAsia="宋体" w:cs="Times New Roman"/>
                <w:color w:val="auto"/>
                <w:szCs w:val="22"/>
                <w:highlight w:val="none"/>
                <w:lang w:val="en-US" w:eastAsia="zh-CN"/>
              </w:rPr>
              <w:t>清花---梳棉---精梳---并条---粗纱---细纱---槽筒</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2022年06月15日 上午至2022年06月15日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rFonts w:hint="eastAsia"/>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p>
          <w:p>
            <w:pPr>
              <w:rPr>
                <w:lang w:val="de-DE"/>
              </w:rPr>
            </w:pPr>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纺织品（棉纱）的加工、销售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04.01.00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14</w:t>
            </w:r>
            <w:r>
              <w:rPr>
                <w:rFonts w:hint="eastAsia"/>
              </w:rPr>
              <w:t>日</w:t>
            </w:r>
            <w:r>
              <w:rPr>
                <w:rFonts w:hint="eastAsia"/>
                <w:lang w:eastAsia="zh-CN"/>
              </w:rPr>
              <w:t>（一阶段）</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de-DE" w:eastAsia="ja-JP"/>
              </w:rPr>
            </w:pPr>
            <w:r>
              <w:rPr>
                <w:rFonts w:hint="eastAsia"/>
                <w:lang w:val="de-DE" w:eastAsia="ja-JP"/>
              </w:rPr>
              <w:t>江西诚曜纺织品有限公司</w:t>
            </w:r>
          </w:p>
          <w:p>
            <w:pPr>
              <w:pStyle w:val="2"/>
              <w:rPr>
                <w:lang w:val="de-DE" w:eastAsia="ja-JP"/>
              </w:rPr>
            </w:pPr>
            <w:r>
              <w:rPr>
                <w:rFonts w:hint="eastAsia"/>
                <w:lang w:val="de-DE" w:eastAsia="ja-JP"/>
              </w:rPr>
              <w:t>江西省南昌市安义县万埠镇万埠老街</w:t>
            </w:r>
          </w:p>
        </w:tc>
        <w:tc>
          <w:tcPr>
            <w:tcW w:w="2267" w:type="dxa"/>
          </w:tcPr>
          <w:p>
            <w:pPr>
              <w:rPr>
                <w:lang w:val="de-DE" w:eastAsia="ja-JP"/>
              </w:rPr>
            </w:pPr>
            <w:r>
              <w:rPr>
                <w:rFonts w:asciiTheme="minorEastAsia" w:hAnsiTheme="minorEastAsia" w:eastAsiaTheme="minorEastAsia"/>
                <w:sz w:val="20"/>
              </w:rPr>
              <w:t>江西省南昌市安义县和强工业园区内</w:t>
            </w:r>
          </w:p>
        </w:tc>
        <w:tc>
          <w:tcPr>
            <w:tcW w:w="571" w:type="dxa"/>
            <w:vAlign w:val="center"/>
          </w:tcPr>
          <w:p>
            <w:pPr>
              <w:rPr>
                <w:rFonts w:hint="default" w:eastAsia="宋体"/>
                <w:lang w:val="en-US" w:eastAsia="zh-CN"/>
              </w:rPr>
            </w:pPr>
            <w:r>
              <w:rPr>
                <w:rFonts w:hint="eastAsia"/>
                <w:lang w:val="en-US" w:eastAsia="zh-CN"/>
              </w:rPr>
              <w:t>32</w:t>
            </w:r>
          </w:p>
        </w:tc>
        <w:tc>
          <w:tcPr>
            <w:tcW w:w="2803" w:type="dxa"/>
            <w:vAlign w:val="center"/>
          </w:tcPr>
          <w:p>
            <w:pPr>
              <w:rPr>
                <w:lang w:eastAsia="ja-JP"/>
              </w:rPr>
            </w:pPr>
            <w:r>
              <w:rPr>
                <w:rFonts w:hint="eastAsia"/>
                <w:lang w:eastAsia="ja-JP"/>
              </w:rPr>
              <w:t>纺织品（棉纱）的加工、销售</w:t>
            </w:r>
          </w:p>
        </w:tc>
        <w:tc>
          <w:tcPr>
            <w:tcW w:w="669" w:type="dxa"/>
            <w:vAlign w:val="center"/>
          </w:tcPr>
          <w:p>
            <w:pPr>
              <w:rPr>
                <w:rFonts w:hint="eastAsia" w:eastAsia="宋体"/>
                <w:lang w:val="en-US" w:eastAsia="zh-CN"/>
              </w:rPr>
            </w:pPr>
            <w:r>
              <w:rPr>
                <w:rFonts w:hint="eastAsia"/>
                <w:lang w:val="en-US" w:eastAsia="zh-CN"/>
              </w:rPr>
              <w:t>Q</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2021-N1QMS-3068076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廖子健</w:t>
            </w:r>
          </w:p>
        </w:tc>
        <w:tc>
          <w:tcPr>
            <w:tcW w:w="1089" w:type="dxa"/>
            <w:vAlign w:val="center"/>
          </w:tcPr>
          <w:p>
            <w:r>
              <w:t>组员</w:t>
            </w:r>
          </w:p>
        </w:tc>
        <w:tc>
          <w:tcPr>
            <w:tcW w:w="711" w:type="dxa"/>
            <w:vAlign w:val="center"/>
          </w:tcPr>
          <w:p>
            <w:r>
              <w:t>男</w:t>
            </w:r>
          </w:p>
        </w:tc>
        <w:tc>
          <w:tcPr>
            <w:tcW w:w="3870" w:type="dxa"/>
            <w:vAlign w:val="center"/>
          </w:tcPr>
          <w:p>
            <w:r>
              <w:t>ISC-JSZJ-541</w:t>
            </w:r>
          </w:p>
          <w:p>
            <w:r>
              <w:t>安义县宏达纺织有限公司</w:t>
            </w:r>
          </w:p>
        </w:tc>
        <w:tc>
          <w:tcPr>
            <w:tcW w:w="2179" w:type="dxa"/>
            <w:vAlign w:val="center"/>
          </w:tcPr>
          <w:p>
            <w:r>
              <w:t>04.01.00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未提出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49530</wp:posOffset>
                  </wp:positionH>
                  <wp:positionV relativeFrom="paragraph">
                    <wp:posOffset>32385</wp:posOffset>
                  </wp:positionV>
                  <wp:extent cx="885190" cy="533400"/>
                  <wp:effectExtent l="0" t="0" r="10160" b="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85190" cy="53340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2022.6.16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u w:val="single"/>
              </w:rPr>
              <w:t>科技领先、产品创优、客户满意、诚信双赢</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4046"/>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4046" w:type="dxa"/>
                </w:tcPr>
                <w:p>
                  <w:pPr>
                    <w:shd w:val="clear" w:color="auto" w:fill="C7DAF1" w:themeFill="text2" w:themeFillTint="32"/>
                  </w:pPr>
                  <w:r>
                    <w:rPr>
                      <w:rFonts w:hint="eastAsia"/>
                    </w:rPr>
                    <w:t>应对措施</w:t>
                  </w:r>
                </w:p>
              </w:tc>
              <w:tc>
                <w:tcPr>
                  <w:tcW w:w="1636"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国际政治经济形势</w:t>
                  </w:r>
                </w:p>
              </w:tc>
              <w:tc>
                <w:tcPr>
                  <w:tcW w:w="4046" w:type="dxa"/>
                </w:tcPr>
                <w:p>
                  <w:pPr>
                    <w:shd w:val="clear" w:color="auto" w:fill="C7DAF1" w:themeFill="text2" w:themeFillTint="32"/>
                    <w:rPr>
                      <w:rFonts w:hint="eastAsia" w:eastAsia="宋体"/>
                      <w:lang w:eastAsia="zh-CN"/>
                    </w:rPr>
                  </w:pPr>
                  <w:r>
                    <w:rPr>
                      <w:rFonts w:hint="eastAsia"/>
                      <w:lang w:eastAsia="zh-CN"/>
                    </w:rPr>
                    <w:t>建立管理体系</w:t>
                  </w:r>
                </w:p>
              </w:tc>
              <w:tc>
                <w:tcPr>
                  <w:tcW w:w="1636"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竞争对手</w:t>
                  </w:r>
                </w:p>
              </w:tc>
              <w:tc>
                <w:tcPr>
                  <w:tcW w:w="4046"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建立管理体系</w:t>
                  </w:r>
                </w:p>
              </w:tc>
              <w:tc>
                <w:tcPr>
                  <w:tcW w:w="1636"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4046" w:type="dxa"/>
                </w:tcPr>
                <w:p>
                  <w:pPr>
                    <w:shd w:val="clear" w:color="auto" w:fill="C7DAF1" w:themeFill="text2" w:themeFillTint="32"/>
                  </w:pPr>
                </w:p>
              </w:tc>
              <w:tc>
                <w:tcPr>
                  <w:tcW w:w="1636"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4046" w:type="dxa"/>
                </w:tcPr>
                <w:p>
                  <w:pPr>
                    <w:shd w:val="clear" w:color="auto" w:fill="C7DAF1" w:themeFill="text2" w:themeFillTint="32"/>
                  </w:pPr>
                </w:p>
              </w:tc>
              <w:tc>
                <w:tcPr>
                  <w:tcW w:w="1636"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2975"/>
              <w:gridCol w:w="1087"/>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97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087"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553"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shd w:val="clear" w:color="auto" w:fill="auto"/>
                  <w:vAlign w:val="top"/>
                </w:tcPr>
                <w:p>
                  <w:pPr>
                    <w:spacing w:after="0"/>
                    <w:rPr>
                      <w:rFonts w:hint="eastAsia" w:ascii="宋体" w:hAnsi="宋体" w:eastAsia="微软雅黑" w:cs="Times New Roman"/>
                      <w:color w:val="000000"/>
                      <w:kern w:val="2"/>
                      <w:sz w:val="21"/>
                      <w:szCs w:val="21"/>
                      <w:lang w:val="en-US" w:eastAsia="zh-CN" w:bidi="ar-SA"/>
                    </w:rPr>
                  </w:pPr>
                  <w:r>
                    <w:rPr>
                      <w:rFonts w:hint="eastAsia" w:ascii="宋体" w:hAnsi="宋体"/>
                      <w:color w:val="000000"/>
                      <w:sz w:val="21"/>
                      <w:szCs w:val="21"/>
                      <w:lang w:eastAsia="zh-CN"/>
                    </w:rPr>
                    <w:t>产品一次检验合格率≥95%</w:t>
                  </w:r>
                </w:p>
              </w:tc>
              <w:tc>
                <w:tcPr>
                  <w:tcW w:w="2975" w:type="dxa"/>
                  <w:shd w:val="clear" w:color="auto" w:fill="auto"/>
                  <w:vAlign w:val="top"/>
                </w:tcPr>
                <w:p>
                  <w:pPr>
                    <w:spacing w:after="0"/>
                    <w:rPr>
                      <w:lang w:val="en-GB"/>
                    </w:rPr>
                  </w:pPr>
                  <w:r>
                    <w:rPr>
                      <w:rFonts w:hint="eastAsia"/>
                      <w:sz w:val="21"/>
                      <w:szCs w:val="21"/>
                      <w:lang w:eastAsia="zh-CN"/>
                    </w:rPr>
                    <w:t>检验合格数量</w:t>
                  </w:r>
                  <w:r>
                    <w:rPr>
                      <w:rFonts w:hint="eastAsia"/>
                      <w:sz w:val="21"/>
                      <w:szCs w:val="21"/>
                    </w:rPr>
                    <w:t>÷总数×</w:t>
                  </w:r>
                  <w:r>
                    <w:rPr>
                      <w:sz w:val="21"/>
                      <w:szCs w:val="21"/>
                    </w:rPr>
                    <w:t>100%</w:t>
                  </w:r>
                </w:p>
              </w:tc>
              <w:tc>
                <w:tcPr>
                  <w:tcW w:w="1087" w:type="dxa"/>
                  <w:shd w:val="clear" w:color="auto" w:fill="auto"/>
                  <w:vAlign w:val="center"/>
                </w:tcPr>
                <w:p>
                  <w:pPr>
                    <w:shd w:val="clear" w:color="auto" w:fill="C7DAF1" w:themeFill="text2" w:themeFillTint="32"/>
                    <w:rPr>
                      <w:rFonts w:hint="eastAsia" w:eastAsia="宋体"/>
                      <w:lang w:val="en-GB" w:eastAsia="zh-CN"/>
                    </w:rPr>
                  </w:pPr>
                  <w:r>
                    <w:rPr>
                      <w:rFonts w:hint="eastAsia"/>
                      <w:lang w:val="en-GB" w:eastAsia="zh-CN"/>
                    </w:rPr>
                    <w:t>生产部</w:t>
                  </w:r>
                </w:p>
              </w:tc>
              <w:tc>
                <w:tcPr>
                  <w:tcW w:w="1553"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shd w:val="clear" w:color="auto" w:fill="auto"/>
                  <w:vAlign w:val="top"/>
                </w:tcPr>
                <w:p>
                  <w:pPr>
                    <w:spacing w:after="0"/>
                    <w:rPr>
                      <w:rFonts w:ascii="宋体" w:hAnsi="宋体" w:eastAsia="宋体" w:cs="Times New Roman"/>
                      <w:color w:val="000000"/>
                      <w:kern w:val="2"/>
                      <w:sz w:val="21"/>
                      <w:szCs w:val="21"/>
                      <w:lang w:val="en-US" w:eastAsia="zh-CN" w:bidi="ar-SA"/>
                    </w:rPr>
                  </w:pPr>
                  <w:r>
                    <w:rPr>
                      <w:rFonts w:hint="eastAsia" w:ascii="宋体" w:hAnsi="宋体"/>
                      <w:color w:val="000000"/>
                      <w:sz w:val="21"/>
                      <w:szCs w:val="21"/>
                    </w:rPr>
                    <w:t>顾客满意度9</w:t>
                  </w:r>
                  <w:r>
                    <w:rPr>
                      <w:rFonts w:hint="eastAsia" w:ascii="宋体" w:hAnsi="宋体"/>
                      <w:color w:val="000000"/>
                      <w:sz w:val="21"/>
                      <w:szCs w:val="21"/>
                      <w:lang w:val="en-US" w:eastAsia="zh-CN"/>
                    </w:rPr>
                    <w:t>2</w:t>
                  </w:r>
                  <w:r>
                    <w:rPr>
                      <w:rFonts w:hint="eastAsia" w:ascii="宋体" w:hAnsi="宋体"/>
                      <w:color w:val="000000"/>
                      <w:sz w:val="21"/>
                      <w:szCs w:val="21"/>
                    </w:rPr>
                    <w:t>分以上</w:t>
                  </w:r>
                </w:p>
              </w:tc>
              <w:tc>
                <w:tcPr>
                  <w:tcW w:w="2975" w:type="dxa"/>
                  <w:shd w:val="clear" w:color="auto" w:fill="auto"/>
                  <w:vAlign w:val="top"/>
                </w:tcPr>
                <w:p>
                  <w:pPr>
                    <w:spacing w:after="0"/>
                    <w:rPr>
                      <w:rFonts w:ascii="宋体" w:hAnsi="宋体"/>
                    </w:rPr>
                  </w:pPr>
                  <w:r>
                    <w:rPr>
                      <w:rFonts w:hint="eastAsia"/>
                      <w:sz w:val="21"/>
                      <w:szCs w:val="21"/>
                    </w:rPr>
                    <w:t>评定数÷总数×</w:t>
                  </w:r>
                  <w:r>
                    <w:rPr>
                      <w:sz w:val="21"/>
                      <w:szCs w:val="21"/>
                    </w:rPr>
                    <w:t>100%</w:t>
                  </w:r>
                </w:p>
              </w:tc>
              <w:tc>
                <w:tcPr>
                  <w:tcW w:w="1087"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销售部</w:t>
                  </w:r>
                </w:p>
              </w:tc>
              <w:tc>
                <w:tcPr>
                  <w:tcW w:w="1553"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6" w:type="dxa"/>
                  <w:shd w:val="clear" w:color="auto" w:fill="auto"/>
                </w:tcPr>
                <w:p>
                  <w:pPr>
                    <w:shd w:val="clear" w:color="auto" w:fill="C7DAF1" w:themeFill="text2" w:themeFillTint="32"/>
                  </w:pPr>
                </w:p>
              </w:tc>
              <w:tc>
                <w:tcPr>
                  <w:tcW w:w="2975" w:type="dxa"/>
                  <w:shd w:val="clear" w:color="auto" w:fill="auto"/>
                  <w:vAlign w:val="center"/>
                </w:tcPr>
                <w:p>
                  <w:pPr>
                    <w:shd w:val="clear" w:color="auto" w:fill="C7DAF1" w:themeFill="text2" w:themeFillTint="32"/>
                    <w:rPr>
                      <w:rFonts w:ascii="宋体" w:hAnsi="宋体"/>
                    </w:rPr>
                  </w:pPr>
                </w:p>
              </w:tc>
              <w:tc>
                <w:tcPr>
                  <w:tcW w:w="1087" w:type="dxa"/>
                  <w:shd w:val="clear" w:color="auto" w:fill="auto"/>
                  <w:vAlign w:val="center"/>
                </w:tcPr>
                <w:p>
                  <w:pPr>
                    <w:shd w:val="clear" w:color="auto" w:fill="C7DAF1" w:themeFill="text2" w:themeFillTint="32"/>
                    <w:rPr>
                      <w:rFonts w:ascii="宋体" w:hAnsi="宋体"/>
                    </w:rPr>
                  </w:pPr>
                </w:p>
              </w:tc>
              <w:tc>
                <w:tcPr>
                  <w:tcW w:w="1553"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shd w:val="clear" w:color="auto" w:fill="auto"/>
                </w:tcPr>
                <w:p>
                  <w:pPr>
                    <w:shd w:val="clear" w:color="auto" w:fill="C7DAF1" w:themeFill="text2" w:themeFillTint="32"/>
                  </w:pPr>
                </w:p>
              </w:tc>
              <w:tc>
                <w:tcPr>
                  <w:tcW w:w="2975" w:type="dxa"/>
                  <w:shd w:val="clear" w:color="auto" w:fill="auto"/>
                  <w:vAlign w:val="center"/>
                </w:tcPr>
                <w:p>
                  <w:pPr>
                    <w:shd w:val="clear" w:color="auto" w:fill="C7DAF1" w:themeFill="text2" w:themeFillTint="32"/>
                    <w:rPr>
                      <w:rFonts w:ascii="宋体" w:hAnsi="宋体"/>
                    </w:rPr>
                  </w:pPr>
                </w:p>
              </w:tc>
              <w:tc>
                <w:tcPr>
                  <w:tcW w:w="1087" w:type="dxa"/>
                  <w:shd w:val="clear" w:color="auto" w:fill="auto"/>
                  <w:vAlign w:val="center"/>
                </w:tcPr>
                <w:p>
                  <w:pPr>
                    <w:shd w:val="clear" w:color="auto" w:fill="C7DAF1" w:themeFill="text2" w:themeFillTint="32"/>
                    <w:rPr>
                      <w:rFonts w:ascii="宋体" w:hAnsi="宋体"/>
                    </w:rPr>
                  </w:pPr>
                </w:p>
              </w:tc>
              <w:tc>
                <w:tcPr>
                  <w:tcW w:w="1553"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6" w:type="dxa"/>
                  <w:shd w:val="clear" w:color="auto" w:fill="auto"/>
                </w:tcPr>
                <w:p>
                  <w:pPr>
                    <w:shd w:val="clear" w:color="auto" w:fill="C7DAF1" w:themeFill="text2" w:themeFillTint="32"/>
                  </w:pPr>
                </w:p>
              </w:tc>
              <w:tc>
                <w:tcPr>
                  <w:tcW w:w="2975" w:type="dxa"/>
                  <w:shd w:val="clear" w:color="auto" w:fill="auto"/>
                  <w:vAlign w:val="center"/>
                </w:tcPr>
                <w:p>
                  <w:pPr>
                    <w:shd w:val="clear" w:color="auto" w:fill="C7DAF1" w:themeFill="text2" w:themeFillTint="32"/>
                    <w:rPr>
                      <w:rFonts w:ascii="宋体" w:hAnsi="宋体"/>
                    </w:rPr>
                  </w:pPr>
                </w:p>
              </w:tc>
              <w:tc>
                <w:tcPr>
                  <w:tcW w:w="1087" w:type="dxa"/>
                  <w:shd w:val="clear" w:color="auto" w:fill="auto"/>
                  <w:vAlign w:val="center"/>
                </w:tcPr>
                <w:p>
                  <w:pPr>
                    <w:shd w:val="clear" w:color="auto" w:fill="C7DAF1" w:themeFill="text2" w:themeFillTint="32"/>
                    <w:rPr>
                      <w:rFonts w:ascii="宋体" w:hAnsi="宋体"/>
                    </w:rPr>
                  </w:pPr>
                </w:p>
              </w:tc>
              <w:tc>
                <w:tcPr>
                  <w:tcW w:w="1553"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6700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ascii="Times New Roman" w:hAnsi="Times New Roman" w:eastAsia="宋体" w:cs="Times New Roman"/>
                <w:color w:val="auto"/>
                <w:szCs w:val="22"/>
                <w:highlight w:val="none"/>
                <w:u w:val="single"/>
                <w:lang w:val="en-US" w:eastAsia="zh-CN"/>
              </w:rPr>
              <w:t>全自动清花线、梳棉机、并条机、气流纺、叉车</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eastAsia="zh-CN"/>
              </w:rPr>
              <w:t>电子秤</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1"/>
              <w:gridCol w:w="1937"/>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1" w:type="dxa"/>
                </w:tcPr>
                <w:p>
                  <w:pPr>
                    <w:shd w:val="clear" w:color="auto" w:fill="C7DAF1" w:themeFill="text2" w:themeFillTint="32"/>
                    <w:jc w:val="left"/>
                  </w:pPr>
                  <w:r>
                    <w:rPr>
                      <w:rFonts w:hint="eastAsia"/>
                    </w:rPr>
                    <w:t>产品/服务名称</w:t>
                  </w:r>
                </w:p>
              </w:tc>
              <w:tc>
                <w:tcPr>
                  <w:tcW w:w="1937" w:type="dxa"/>
                </w:tcPr>
                <w:p>
                  <w:pPr>
                    <w:shd w:val="clear" w:color="auto" w:fill="C7DAF1" w:themeFill="text2" w:themeFillTint="32"/>
                    <w:jc w:val="left"/>
                  </w:pPr>
                  <w:r>
                    <w:rPr>
                      <w:rFonts w:hint="eastAsia"/>
                    </w:rPr>
                    <w:t>关键过程</w:t>
                  </w:r>
                </w:p>
              </w:tc>
              <w:tc>
                <w:tcPr>
                  <w:tcW w:w="2974"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1" w:type="dxa"/>
                </w:tcPr>
                <w:p>
                  <w:pPr>
                    <w:shd w:val="clear" w:color="auto" w:fill="C7DAF1" w:themeFill="text2" w:themeFillTint="32"/>
                    <w:jc w:val="left"/>
                  </w:pPr>
                  <w:r>
                    <w:rPr>
                      <w:rFonts w:hint="eastAsia"/>
                    </w:rPr>
                    <w:t>纺织品（棉纱）的加工、销售</w:t>
                  </w:r>
                </w:p>
              </w:tc>
              <w:tc>
                <w:tcPr>
                  <w:tcW w:w="1937" w:type="dxa"/>
                </w:tcPr>
                <w:p>
                  <w:pPr>
                    <w:shd w:val="clear" w:color="auto" w:fill="C7DAF1" w:themeFill="text2" w:themeFillTint="32"/>
                    <w:jc w:val="left"/>
                  </w:pPr>
                  <w:r>
                    <w:rPr>
                      <w:rFonts w:hint="eastAsia"/>
                    </w:rPr>
                    <w:t>粗纱、细纱</w:t>
                  </w:r>
                </w:p>
              </w:tc>
              <w:tc>
                <w:tcPr>
                  <w:tcW w:w="2974" w:type="dxa"/>
                </w:tcPr>
                <w:p>
                  <w:pPr>
                    <w:shd w:val="clear" w:color="auto" w:fill="C7DAF1" w:themeFill="text2" w:themeFillTint="32"/>
                    <w:jc w:val="left"/>
                    <w:rPr>
                      <w:rFonts w:hint="eastAsia" w:eastAsia="宋体"/>
                      <w:lang w:eastAsia="zh-CN"/>
                    </w:rPr>
                  </w:pPr>
                  <w:r>
                    <w:rPr>
                      <w:rFonts w:hint="eastAsia"/>
                      <w:lang w:eastAsia="zh-CN"/>
                    </w:rPr>
                    <w:t>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1" w:type="dxa"/>
                </w:tcPr>
                <w:p>
                  <w:pPr>
                    <w:shd w:val="clear" w:color="auto" w:fill="C7DAF1" w:themeFill="text2" w:themeFillTint="32"/>
                    <w:jc w:val="left"/>
                  </w:pPr>
                </w:p>
              </w:tc>
              <w:tc>
                <w:tcPr>
                  <w:tcW w:w="1937" w:type="dxa"/>
                </w:tcPr>
                <w:p>
                  <w:pPr>
                    <w:shd w:val="clear" w:color="auto" w:fill="C7DAF1" w:themeFill="text2" w:themeFillTint="32"/>
                    <w:jc w:val="left"/>
                  </w:pPr>
                </w:p>
              </w:tc>
              <w:tc>
                <w:tcPr>
                  <w:tcW w:w="2974"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bookmarkStart w:id="34" w:name="_GoBack"/>
            <w:bookmarkEnd w:id="34"/>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eastAsia="zh-CN"/>
              </w:rPr>
              <w:t>检测报告</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通过年度策划于2022年5月7-8日实施了质量管理体系内部审核，对质量管理体系的符合性和有效性进行了审核。内审发现的项不符合在本次审核前已完成整改。在公司内完成的这些审核是可信的。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对所有班次的现场操作已审核。</w:t>
            </w:r>
          </w:p>
          <w:p>
            <w:pPr>
              <w:shd w:val="clear" w:color="auto" w:fill="C7DAF1" w:themeFill="text2" w:themeFillTint="32"/>
            </w:pPr>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最高管理者已按策划的时间间隔，在2022年5月19日对组织的质量管理体系进行了评审，以确保其持续的适宜性、充分性和有效性；管理评审输入、输出均按要求提供。并对提出的改进措施进行了落实。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96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6"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6"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6"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6"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6"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6"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6"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6"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6"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E5NTRmZWE1ODkyMzI3NzUzMjUzZWZjMTFlMDk4OTYifQ=="/>
  </w:docVars>
  <w:rsids>
    <w:rsidRoot w:val="00000000"/>
    <w:rsid w:val="26C347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18592</Words>
  <Characters>19266</Characters>
  <Lines>150</Lines>
  <Paragraphs>42</Paragraphs>
  <TotalTime>1</TotalTime>
  <ScaleCrop>false</ScaleCrop>
  <LinksUpToDate>false</LinksUpToDate>
  <CharactersWithSpaces>19387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2022-06-15T02:57:48Z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