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  <w:lang w:val="en-US" w:eastAsia="zh-CN"/>
        </w:rPr>
        <w:t>Q</w:t>
      </w:r>
      <w:r>
        <w:rPr>
          <w:b/>
          <w:sz w:val="22"/>
          <w:szCs w:val="22"/>
        </w:rPr>
        <w:t xml:space="preserve">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四川杰安达建筑工程有限公司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28.04.01;28.07.03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28.04.01;28.07.03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项目招投标</w:t>
            </w:r>
            <w:r>
              <w:rPr>
                <w:rFonts w:hint="eastAsia"/>
                <w:b/>
                <w:sz w:val="20"/>
                <w:lang w:val="en-US" w:eastAsia="zh-CN"/>
              </w:rPr>
              <w:t>--项目策划--设备材料进场--项目施工--项目验收--项目交付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特殊过程：焊接、隐蔽工程施工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措施：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施工设备的性能控制；工艺参数的控制；人员能力的控制；相应的作业指导书；加强过程的监视和测量控制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建筑机械使用安全技术规程 JGJ33-2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012、房屋建筑与市政基础设施工程检测分类标准 JGJ/T181-2009、电气装置安装工程 1KV 及以下配线工程施工及验收规范GB50258—-96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《电气装置安装工程施工及验收规范_》GB50254~259-96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GB50168－2018电气装置安装工程电缆线路施工及验收标准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GB55002-2021《建筑与市政工程抗震通用规范》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检验项目：服务质量、服务及时性、投诉处理满意度。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231775</wp:posOffset>
                  </wp:positionV>
                  <wp:extent cx="546100" cy="266700"/>
                  <wp:effectExtent l="0" t="0" r="0" b="0"/>
                  <wp:wrapTight wrapText="bothSides">
                    <wp:wrapPolygon>
                      <wp:start x="0" y="0"/>
                      <wp:lineTo x="0" y="20571"/>
                      <wp:lineTo x="21098" y="20571"/>
                      <wp:lineTo x="21098" y="0"/>
                      <wp:lineTo x="0" y="0"/>
                    </wp:wrapPolygon>
                  </wp:wrapTight>
                  <wp:docPr id="5" name="图片 5" descr="322fb88d4479e1c0459e841bee368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22fb88d4479e1c0459e841bee368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222250</wp:posOffset>
                  </wp:positionV>
                  <wp:extent cx="546100" cy="266700"/>
                  <wp:effectExtent l="0" t="0" r="0" b="0"/>
                  <wp:wrapTight wrapText="bothSides">
                    <wp:wrapPolygon>
                      <wp:start x="0" y="0"/>
                      <wp:lineTo x="0" y="20571"/>
                      <wp:lineTo x="21098" y="20571"/>
                      <wp:lineTo x="21098" y="0"/>
                      <wp:lineTo x="0" y="0"/>
                    </wp:wrapPolygon>
                  </wp:wrapTight>
                  <wp:docPr id="6" name="图片 6" descr="322fb88d4479e1c0459e841bee368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22fb88d4479e1c0459e841bee368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四川杰安达建筑工程有限公司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28.04.01;28.07.03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28.04.01;28.07.03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项目招投标</w:t>
            </w:r>
            <w:r>
              <w:rPr>
                <w:rFonts w:hint="eastAsia"/>
                <w:b/>
                <w:sz w:val="20"/>
                <w:lang w:val="en-US" w:eastAsia="zh-CN"/>
              </w:rPr>
              <w:t>--项目策划--设备材料进场--项目施工--项目验收--项目交付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粉尘排放</w:t>
            </w:r>
            <w:r>
              <w:rPr>
                <w:rFonts w:hint="eastAsia"/>
                <w:b/>
                <w:sz w:val="20"/>
                <w:lang w:eastAsia="zh-CN"/>
              </w:rPr>
              <w:t>、噪声排放、固废(含危废)排放、废水排放、潜在火灾、资源能源消耗、自然环境破坏。按照管理措施及应急预案进行管理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、中华人民共和国水污染防治法、中华人民共和国环境噪声污染防治法、中华人民共和国环境影响评价法、中华人民共和国清洁生产促进法等。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231775</wp:posOffset>
                  </wp:positionV>
                  <wp:extent cx="546100" cy="266700"/>
                  <wp:effectExtent l="0" t="0" r="6350" b="0"/>
                  <wp:wrapTight wrapText="bothSides">
                    <wp:wrapPolygon>
                      <wp:start x="0" y="0"/>
                      <wp:lineTo x="0" y="20057"/>
                      <wp:lineTo x="21098" y="20057"/>
                      <wp:lineTo x="21098" y="0"/>
                      <wp:lineTo x="0" y="0"/>
                    </wp:wrapPolygon>
                  </wp:wrapTight>
                  <wp:docPr id="58" name="图片 58" descr="322fb88d4479e1c0459e841bee368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322fb88d4479e1c0459e841bee368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222250</wp:posOffset>
                  </wp:positionV>
                  <wp:extent cx="546100" cy="266700"/>
                  <wp:effectExtent l="0" t="0" r="6350" b="0"/>
                  <wp:wrapTight wrapText="bothSides">
                    <wp:wrapPolygon>
                      <wp:start x="0" y="0"/>
                      <wp:lineTo x="0" y="20057"/>
                      <wp:lineTo x="21098" y="20057"/>
                      <wp:lineTo x="21098" y="0"/>
                      <wp:lineTo x="0" y="0"/>
                    </wp:wrapPolygon>
                  </wp:wrapTight>
                  <wp:docPr id="1" name="图片 1" descr="322fb88d4479e1c0459e841bee368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22fb88d4479e1c0459e841bee368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四川杰安达建筑工程有限公司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28.04.01;28.07.03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28.04.01;28.07.03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项目招投标</w:t>
            </w:r>
            <w:r>
              <w:rPr>
                <w:rFonts w:hint="eastAsia"/>
                <w:b/>
                <w:sz w:val="20"/>
                <w:lang w:val="en-US" w:eastAsia="zh-CN"/>
              </w:rPr>
              <w:t>--项目策划--设备材料进场--项目施工--项目验收--项目交付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塌方、倒塌事故</w:t>
            </w:r>
            <w:r>
              <w:rPr>
                <w:rFonts w:hint="eastAsia"/>
                <w:b/>
                <w:sz w:val="20"/>
                <w:lang w:eastAsia="zh-CN"/>
              </w:rPr>
              <w:t>，机械伤害、触电、高空坠落、潜在火灾、中暑、物体打击、落水淹溺、起重伤害、职业病等。按照管理措施及应急预案进行管理。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中华人民共和国安全生产法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、中华人民共和国职业病防治法、企业职工伤亡事故报告和处理规定、生产安全事故报告和调查处理条例等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307975</wp:posOffset>
                  </wp:positionV>
                  <wp:extent cx="546100" cy="266700"/>
                  <wp:effectExtent l="0" t="0" r="6350" b="0"/>
                  <wp:wrapTight wrapText="bothSides">
                    <wp:wrapPolygon>
                      <wp:start x="0" y="0"/>
                      <wp:lineTo x="0" y="20057"/>
                      <wp:lineTo x="21098" y="20057"/>
                      <wp:lineTo x="21098" y="0"/>
                      <wp:lineTo x="0" y="0"/>
                    </wp:wrapPolygon>
                  </wp:wrapTight>
                  <wp:docPr id="3" name="图片 3" descr="322fb88d4479e1c0459e841bee368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22fb88d4479e1c0459e841bee368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250825</wp:posOffset>
                  </wp:positionV>
                  <wp:extent cx="546100" cy="266700"/>
                  <wp:effectExtent l="0" t="0" r="6350" b="0"/>
                  <wp:wrapTight wrapText="bothSides">
                    <wp:wrapPolygon>
                      <wp:start x="0" y="0"/>
                      <wp:lineTo x="0" y="20057"/>
                      <wp:lineTo x="21098" y="20057"/>
                      <wp:lineTo x="21098" y="0"/>
                      <wp:lineTo x="0" y="0"/>
                    </wp:wrapPolygon>
                  </wp:wrapTight>
                  <wp:docPr id="4" name="图片 4" descr="322fb88d4479e1c0459e841bee368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22fb88d4479e1c0459e841bee368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0683500"/>
    <w:rsid w:val="036C6ABE"/>
    <w:rsid w:val="05B918B5"/>
    <w:rsid w:val="05D17A32"/>
    <w:rsid w:val="0C923718"/>
    <w:rsid w:val="0FBF6943"/>
    <w:rsid w:val="15514E37"/>
    <w:rsid w:val="1F8A3A14"/>
    <w:rsid w:val="21627E1C"/>
    <w:rsid w:val="2E9D013C"/>
    <w:rsid w:val="32430FEB"/>
    <w:rsid w:val="364B703C"/>
    <w:rsid w:val="39927148"/>
    <w:rsid w:val="3B375866"/>
    <w:rsid w:val="3F6F51DD"/>
    <w:rsid w:val="478921F5"/>
    <w:rsid w:val="498C3781"/>
    <w:rsid w:val="4B655BB7"/>
    <w:rsid w:val="4DBB327B"/>
    <w:rsid w:val="54D80893"/>
    <w:rsid w:val="557708CE"/>
    <w:rsid w:val="5A573243"/>
    <w:rsid w:val="624B17B0"/>
    <w:rsid w:val="6FC461A4"/>
    <w:rsid w:val="7BF93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locked/>
    <w:uiPriority w:val="0"/>
    <w:rPr>
      <w:b/>
      <w:bCs/>
    </w:rPr>
  </w:style>
  <w:style w:type="character" w:customStyle="1" w:styleId="10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656</Words>
  <Characters>768</Characters>
  <Lines>2</Lines>
  <Paragraphs>1</Paragraphs>
  <TotalTime>0</TotalTime>
  <ScaleCrop>false</ScaleCrop>
  <LinksUpToDate>false</LinksUpToDate>
  <CharactersWithSpaces>770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2022-06-15T08:50:47Z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