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0797-2022-EnMS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无锡万华机械有限公司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2022年06月24日 上午至2022年06月24日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23331-2021</w:t>
            </w:r>
          </w:p>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119-2015 能源管理体系 机械制造企业认证要求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河北省石家庄市/河北省荆门市/江苏省无锡市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w:t>
            </w:r>
            <w:r>
              <w:rPr>
                <w:rFonts w:hint="eastAsia" w:ascii="宋体"/>
                <w:b/>
                <w:color w:val="0000FF"/>
                <w:szCs w:val="21"/>
              </w:rPr>
              <w:sym w:font="Wingdings 2" w:char="0052"/>
            </w:r>
            <w:r>
              <w:rPr>
                <w:rFonts w:hint="eastAsia" w:ascii="宋体"/>
                <w:b/>
                <w:color w:val="0000FF"/>
                <w:szCs w:val="21"/>
              </w:rPr>
              <w:t>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宋翠琳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2022-N1EnMS-1082241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徐申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ISC-JSZJ-526</w:t>
            </w:r>
          </w:p>
          <w:p>
            <w:pPr>
              <w:spacing w:line="240" w:lineRule="exact"/>
              <w:jc w:val="center"/>
              <w:rPr>
                <w:b/>
                <w:color w:val="000000"/>
                <w:szCs w:val="21"/>
              </w:rPr>
            </w:pPr>
            <w:r>
              <w:rPr>
                <w:b/>
                <w:color w:val="000000"/>
                <w:szCs w:val="21"/>
              </w:rPr>
              <w:t>无锡先锋电机有限公司</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无锡万华机械有限公司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无锡市运河西路2688号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214000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无锡市运河西路2688号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214000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郭嵘</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15861591711</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魏进兴</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郭嵘</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highlight w:val="none"/>
              </w:rPr>
              <w:t>汽车零部件</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0"/>
              </w:tabs>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原材料检验→焊接→热成型→激光切割→抛丸→冲压→检验→入库；</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default" w:ascii="宋体" w:hAnsi="宋体" w:eastAsia="宋体"/>
                <w:b/>
                <w:color w:val="000000"/>
                <w:szCs w:val="21"/>
                <w:lang w:val="en-US" w:eastAsia="zh-CN"/>
              </w:rPr>
            </w:pPr>
            <w:bookmarkStart w:id="32" w:name="审核范围"/>
            <w:r>
              <w:rPr>
                <w:highlight w:val="none"/>
              </w:rPr>
              <w:t>汽车零部件的制造所涉及的能源管理活动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23"/>
        <w:gridCol w:w="1315"/>
        <w:gridCol w:w="1758"/>
        <w:gridCol w:w="17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23"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1315"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758"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14"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无锡万华机械有限公司</w:t>
            </w:r>
            <w:r>
              <w:rPr>
                <w:rFonts w:hint="eastAsia"/>
                <w:sz w:val="21"/>
                <w:szCs w:val="21"/>
                <w:lang w:val="en-US" w:eastAsia="zh-CN"/>
              </w:rPr>
              <w:t>/</w:t>
            </w:r>
            <w:r>
              <w:rPr>
                <w:sz w:val="21"/>
                <w:szCs w:val="21"/>
              </w:rPr>
              <w:t>无锡市运河西路2688号</w:t>
            </w:r>
          </w:p>
        </w:tc>
        <w:tc>
          <w:tcPr>
            <w:tcW w:w="1523" w:type="dxa"/>
          </w:tcPr>
          <w:p>
            <w:pPr>
              <w:spacing w:before="40" w:after="40"/>
              <w:rPr>
                <w:rFonts w:eastAsia="黑体"/>
                <w:szCs w:val="21"/>
                <w:lang w:val="de-DE" w:eastAsia="ja-JP"/>
              </w:rPr>
            </w:pPr>
            <w:r>
              <w:rPr>
                <w:sz w:val="21"/>
                <w:szCs w:val="21"/>
              </w:rPr>
              <w:t>无锡市运河西路2688号</w:t>
            </w:r>
          </w:p>
        </w:tc>
        <w:tc>
          <w:tcPr>
            <w:tcW w:w="1315" w:type="dxa"/>
            <w:vAlign w:val="center"/>
          </w:tcPr>
          <w:p>
            <w:pPr>
              <w:spacing w:before="40" w:after="40"/>
              <w:rPr>
                <w:rFonts w:hint="default" w:eastAsia="黑体"/>
                <w:szCs w:val="21"/>
                <w:lang w:val="en-US" w:eastAsia="zh-CN"/>
              </w:rPr>
            </w:pPr>
            <w:r>
              <w:rPr>
                <w:rFonts w:hint="eastAsia" w:ascii="Times New Roman" w:hAnsi="Times New Roman" w:eastAsia="宋体" w:cs="Times New Roman"/>
                <w:sz w:val="21"/>
                <w:szCs w:val="21"/>
                <w:lang w:val="en-US" w:eastAsia="zh-CN"/>
              </w:rPr>
              <w:t>320人能源体系覆盖120人</w:t>
            </w:r>
          </w:p>
        </w:tc>
        <w:tc>
          <w:tcPr>
            <w:tcW w:w="1758" w:type="dxa"/>
            <w:vAlign w:val="center"/>
          </w:tcPr>
          <w:p>
            <w:pPr>
              <w:pStyle w:val="21"/>
              <w:rPr>
                <w:rFonts w:eastAsia="黑体" w:cs="Arial"/>
                <w:sz w:val="21"/>
                <w:szCs w:val="21"/>
                <w:lang w:val="en-US" w:eastAsia="ja-JP"/>
              </w:rPr>
            </w:pPr>
            <w:r>
              <w:rPr>
                <w:highlight w:val="none"/>
              </w:rPr>
              <w:t>汽车零部件的制造所涉及的能源管理活动</w:t>
            </w:r>
          </w:p>
        </w:tc>
        <w:tc>
          <w:tcPr>
            <w:tcW w:w="1714" w:type="dxa"/>
            <w:vAlign w:val="center"/>
          </w:tcPr>
          <w:p>
            <w:pPr>
              <w:spacing w:before="40" w:after="40"/>
              <w:rPr>
                <w:rFonts w:hint="eastAsia"/>
                <w:lang w:val="en-US" w:eastAsia="zh-CN"/>
              </w:rPr>
            </w:pPr>
            <w:r>
              <w:rPr>
                <w:rFonts w:hint="eastAsia"/>
                <w:lang w:val="en-US" w:eastAsia="zh-CN"/>
              </w:rPr>
              <w:t>GB/T23331-2020</w:t>
            </w:r>
          </w:p>
          <w:p>
            <w:pPr>
              <w:pStyle w:val="2"/>
              <w:rPr>
                <w:rFonts w:hint="default"/>
                <w:lang w:val="en-US" w:eastAsia="zh-CN"/>
              </w:rPr>
            </w:pPr>
            <w:r>
              <w:rPr>
                <w:rFonts w:hint="eastAsia" w:eastAsia="黑体"/>
                <w:szCs w:val="21"/>
                <w:lang w:val="en-US" w:eastAsia="zh-CN"/>
              </w:rPr>
              <w:t>RB/T119-2015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523" w:type="dxa"/>
            <w:vAlign w:val="center"/>
          </w:tcPr>
          <w:p>
            <w:pPr>
              <w:spacing w:before="40" w:after="40"/>
              <w:rPr>
                <w:rFonts w:eastAsia="黑体"/>
                <w:szCs w:val="21"/>
                <w:lang w:eastAsia="ja-JP"/>
              </w:rPr>
            </w:pPr>
          </w:p>
        </w:tc>
        <w:tc>
          <w:tcPr>
            <w:tcW w:w="1315" w:type="dxa"/>
            <w:vAlign w:val="center"/>
          </w:tcPr>
          <w:p>
            <w:pPr>
              <w:spacing w:before="40" w:after="40"/>
              <w:rPr>
                <w:rFonts w:eastAsia="黑体"/>
                <w:szCs w:val="21"/>
                <w:lang w:eastAsia="ja-JP"/>
              </w:rPr>
            </w:pPr>
          </w:p>
        </w:tc>
        <w:tc>
          <w:tcPr>
            <w:tcW w:w="1758" w:type="dxa"/>
            <w:vAlign w:val="center"/>
          </w:tcPr>
          <w:p>
            <w:pPr>
              <w:spacing w:before="40" w:after="40"/>
              <w:rPr>
                <w:rFonts w:eastAsia="黑体"/>
                <w:szCs w:val="21"/>
                <w:lang w:eastAsia="ja-JP"/>
              </w:rPr>
            </w:pPr>
          </w:p>
        </w:tc>
        <w:tc>
          <w:tcPr>
            <w:tcW w:w="171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523" w:type="dxa"/>
            <w:vAlign w:val="center"/>
          </w:tcPr>
          <w:p>
            <w:pPr>
              <w:spacing w:before="40" w:after="40"/>
              <w:rPr>
                <w:rFonts w:eastAsia="黑体"/>
                <w:szCs w:val="21"/>
                <w:lang w:eastAsia="ja-JP"/>
              </w:rPr>
            </w:pPr>
          </w:p>
        </w:tc>
        <w:tc>
          <w:tcPr>
            <w:tcW w:w="1315" w:type="dxa"/>
            <w:vAlign w:val="center"/>
          </w:tcPr>
          <w:p>
            <w:pPr>
              <w:spacing w:before="40" w:after="40"/>
              <w:rPr>
                <w:rFonts w:eastAsia="黑体"/>
                <w:szCs w:val="21"/>
                <w:lang w:eastAsia="ja-JP"/>
              </w:rPr>
            </w:pPr>
          </w:p>
        </w:tc>
        <w:tc>
          <w:tcPr>
            <w:tcW w:w="1758" w:type="dxa"/>
            <w:vAlign w:val="center"/>
          </w:tcPr>
          <w:p>
            <w:pPr>
              <w:spacing w:before="40" w:after="40"/>
              <w:rPr>
                <w:rFonts w:eastAsia="黑体"/>
                <w:szCs w:val="21"/>
                <w:lang w:eastAsia="ja-JP"/>
              </w:rPr>
            </w:pPr>
          </w:p>
        </w:tc>
        <w:tc>
          <w:tcPr>
            <w:tcW w:w="171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523" w:type="dxa"/>
            <w:vAlign w:val="center"/>
          </w:tcPr>
          <w:p>
            <w:pPr>
              <w:spacing w:before="40" w:after="40"/>
              <w:rPr>
                <w:rFonts w:eastAsia="黑体"/>
                <w:szCs w:val="21"/>
                <w:lang w:eastAsia="ja-JP"/>
              </w:rPr>
            </w:pPr>
          </w:p>
        </w:tc>
        <w:tc>
          <w:tcPr>
            <w:tcW w:w="1315" w:type="dxa"/>
            <w:vAlign w:val="center"/>
          </w:tcPr>
          <w:p>
            <w:pPr>
              <w:spacing w:before="40" w:after="40"/>
              <w:rPr>
                <w:rFonts w:eastAsia="黑体"/>
                <w:szCs w:val="21"/>
                <w:lang w:eastAsia="ja-JP"/>
              </w:rPr>
            </w:pPr>
          </w:p>
        </w:tc>
        <w:tc>
          <w:tcPr>
            <w:tcW w:w="1758" w:type="dxa"/>
            <w:vAlign w:val="center"/>
          </w:tcPr>
          <w:p>
            <w:pPr>
              <w:spacing w:before="40" w:after="40"/>
              <w:rPr>
                <w:rFonts w:eastAsia="黑体"/>
                <w:szCs w:val="21"/>
                <w:lang w:eastAsia="ja-JP"/>
              </w:rPr>
            </w:pPr>
          </w:p>
        </w:tc>
        <w:tc>
          <w:tcPr>
            <w:tcW w:w="171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523" w:type="dxa"/>
            <w:vAlign w:val="center"/>
          </w:tcPr>
          <w:p>
            <w:pPr>
              <w:spacing w:before="40" w:after="40"/>
              <w:rPr>
                <w:rFonts w:eastAsia="黑体"/>
                <w:szCs w:val="21"/>
                <w:lang w:eastAsia="ja-JP"/>
              </w:rPr>
            </w:pPr>
          </w:p>
        </w:tc>
        <w:tc>
          <w:tcPr>
            <w:tcW w:w="1315" w:type="dxa"/>
            <w:vAlign w:val="center"/>
          </w:tcPr>
          <w:p>
            <w:pPr>
              <w:spacing w:before="40" w:after="40"/>
              <w:rPr>
                <w:rFonts w:eastAsia="黑体"/>
                <w:szCs w:val="21"/>
                <w:lang w:eastAsia="ja-JP"/>
              </w:rPr>
            </w:pPr>
          </w:p>
        </w:tc>
        <w:tc>
          <w:tcPr>
            <w:tcW w:w="1758" w:type="dxa"/>
            <w:vAlign w:val="center"/>
          </w:tcPr>
          <w:p>
            <w:pPr>
              <w:spacing w:before="40" w:after="40"/>
              <w:rPr>
                <w:rFonts w:eastAsia="黑体"/>
                <w:szCs w:val="21"/>
                <w:lang w:eastAsia="ja-JP"/>
              </w:rPr>
            </w:pPr>
          </w:p>
        </w:tc>
        <w:tc>
          <w:tcPr>
            <w:tcW w:w="171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20-21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年2月15日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eastAsia"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A3"/>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初步定于2022-0</w:t>
            </w:r>
            <w:r>
              <w:rPr>
                <w:rFonts w:hint="eastAsia" w:ascii="宋体"/>
                <w:b/>
                <w:color w:val="000000"/>
                <w:szCs w:val="21"/>
                <w:lang w:val="en-US" w:eastAsia="zh-CN"/>
              </w:rPr>
              <w:t>6</w:t>
            </w:r>
            <w:r>
              <w:rPr>
                <w:rFonts w:hint="eastAsia" w:ascii="宋体"/>
                <w:b/>
                <w:color w:val="000000"/>
                <w:szCs w:val="21"/>
              </w:rPr>
              <w:t>-</w:t>
            </w:r>
            <w:r>
              <w:rPr>
                <w:rFonts w:hint="eastAsia" w:ascii="宋体"/>
                <w:b/>
                <w:color w:val="000000"/>
                <w:szCs w:val="21"/>
                <w:lang w:val="en-US" w:eastAsia="zh-CN"/>
              </w:rPr>
              <w:t>28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default" w:ascii="宋体" w:hAnsi="宋体" w:eastAsia="宋体"/>
                <w:b/>
                <w:color w:val="000000"/>
                <w:szCs w:val="21"/>
                <w:lang w:val="en-US" w:eastAsia="zh-CN"/>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default"/>
          <w:sz w:val="22"/>
          <w:szCs w:val="22"/>
          <w:lang w:val="en-US"/>
        </w:rPr>
        <w:drawing>
          <wp:anchor distT="0" distB="0" distL="114300" distR="114300" simplePos="0" relativeHeight="251694080" behindDoc="0" locked="0" layoutInCell="1" allowOverlap="1">
            <wp:simplePos x="0" y="0"/>
            <wp:positionH relativeFrom="column">
              <wp:posOffset>4186555</wp:posOffset>
            </wp:positionH>
            <wp:positionV relativeFrom="paragraph">
              <wp:posOffset>152400</wp:posOffset>
            </wp:positionV>
            <wp:extent cx="855345" cy="633730"/>
            <wp:effectExtent l="0" t="0" r="8255" b="1270"/>
            <wp:wrapSquare wrapText="bothSides"/>
            <wp:docPr id="2" name="图片 2" descr="1056763f4e5bd04306ddf3b9b95c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56763f4e5bd04306ddf3b9b95cbe3"/>
                    <pic:cNvPicPr>
                      <a:picLocks noChangeAspect="1"/>
                    </pic:cNvPicPr>
                  </pic:nvPicPr>
                  <pic:blipFill>
                    <a:blip r:embed="rId6"/>
                    <a:stretch>
                      <a:fillRect/>
                    </a:stretch>
                  </pic:blipFill>
                  <pic:spPr>
                    <a:xfrm>
                      <a:off x="0" y="0"/>
                      <a:ext cx="855345" cy="63373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96128" behindDoc="0" locked="0" layoutInCell="1" allowOverlap="1">
            <wp:simplePos x="0" y="0"/>
            <wp:positionH relativeFrom="column">
              <wp:posOffset>1779905</wp:posOffset>
            </wp:positionH>
            <wp:positionV relativeFrom="paragraph">
              <wp:posOffset>252095</wp:posOffset>
            </wp:positionV>
            <wp:extent cx="895350" cy="319405"/>
            <wp:effectExtent l="0" t="0" r="0" b="1079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7"/>
                    <a:stretch>
                      <a:fillRect/>
                    </a:stretch>
                  </pic:blipFill>
                  <pic:spPr>
                    <a:xfrm>
                      <a:off x="0" y="0"/>
                      <a:ext cx="895350" cy="3194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p>
    <w:p>
      <w:pPr>
        <w:ind w:firstLine="843" w:firstLineChars="400"/>
        <w:rPr>
          <w:rFonts w:hint="default" w:ascii="宋体" w:hAnsi="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2022.6.24                   </w:t>
      </w:r>
      <w:r>
        <w:drawing>
          <wp:inline distT="0" distB="0" distL="114300" distR="114300">
            <wp:extent cx="1092200" cy="3810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092200" cy="381000"/>
                    </a:xfrm>
                    <a:prstGeom prst="rect">
                      <a:avLst/>
                    </a:prstGeom>
                    <a:noFill/>
                    <a:ln>
                      <a:noFill/>
                    </a:ln>
                  </pic:spPr>
                </pic:pic>
              </a:graphicData>
            </a:graphic>
          </wp:inline>
        </w:drawing>
      </w:r>
    </w:p>
    <w:p>
      <w:pPr>
        <w:ind w:firstLine="843" w:firstLineChars="400"/>
        <w:rPr>
          <w:rFonts w:hint="eastAsia" w:ascii="宋体" w:hAnsi="宋体"/>
          <w:b/>
          <w:color w:val="000000"/>
          <w:szCs w:val="21"/>
          <w:lang w:val="en-US" w:eastAsia="zh-CN"/>
        </w:rPr>
      </w:pPr>
    </w:p>
    <w:p>
      <w:pPr>
        <w:ind w:firstLine="843" w:firstLineChars="400"/>
        <w:rPr>
          <w:rFonts w:hint="eastAsia" w:ascii="宋体" w:hAnsi="宋体"/>
          <w:b/>
          <w:color w:val="000000"/>
          <w:szCs w:val="21"/>
          <w:lang w:val="en-US" w:eastAsia="zh-CN"/>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bookmarkStart w:id="33" w:name="_GoBack"/>
      <w:r>
        <w:drawing>
          <wp:inline distT="0" distB="0" distL="114300" distR="114300">
            <wp:extent cx="4876800" cy="5809615"/>
            <wp:effectExtent l="0" t="0" r="0" b="698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9"/>
                    <a:stretch>
                      <a:fillRect/>
                    </a:stretch>
                  </pic:blipFill>
                  <pic:spPr>
                    <a:xfrm>
                      <a:off x="0" y="0"/>
                      <a:ext cx="4876800" cy="5809615"/>
                    </a:xfrm>
                    <a:prstGeom prst="rect">
                      <a:avLst/>
                    </a:prstGeom>
                    <a:noFill/>
                    <a:ln>
                      <a:noFill/>
                    </a:ln>
                  </pic:spPr>
                </pic:pic>
              </a:graphicData>
            </a:graphic>
          </wp:inline>
        </w:drawing>
      </w:r>
      <w:bookmarkEnd w:id="33"/>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无锡万华机械有限公司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提供的法律法规清单中设备热效率计算通则已作废，企业节能量计算方法未更新。</w:t>
            </w:r>
          </w:p>
        </w:tc>
        <w:tc>
          <w:tcPr>
            <w:tcW w:w="922" w:type="dxa"/>
            <w:vAlign w:val="center"/>
          </w:tcPr>
          <w:p>
            <w:pPr>
              <w:pStyle w:val="8"/>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En</w:t>
            </w:r>
          </w:p>
        </w:tc>
        <w:tc>
          <w:tcPr>
            <w:tcW w:w="1133"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4.2</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737088" behindDoc="0" locked="0" layoutInCell="1" allowOverlap="1">
                  <wp:simplePos x="0" y="0"/>
                  <wp:positionH relativeFrom="column">
                    <wp:posOffset>751205</wp:posOffset>
                  </wp:positionH>
                  <wp:positionV relativeFrom="paragraph">
                    <wp:posOffset>128270</wp:posOffset>
                  </wp:positionV>
                  <wp:extent cx="777240" cy="234950"/>
                  <wp:effectExtent l="0" t="0" r="0" b="5715"/>
                  <wp:wrapSquare wrapText="bothSides"/>
                  <wp:docPr id="7" name="图片 7"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李丽英电子签"/>
                          <pic:cNvPicPr>
                            <a:picLocks noChangeAspect="1"/>
                          </pic:cNvPicPr>
                        </pic:nvPicPr>
                        <pic:blipFill>
                          <a:blip r:embed="rId10"/>
                          <a:stretch>
                            <a:fillRect/>
                          </a:stretch>
                        </pic:blipFill>
                        <pic:spPr>
                          <a:xfrm>
                            <a:off x="0" y="0"/>
                            <a:ext cx="777240" cy="23495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eastAsia="宋体"/>
                <w:sz w:val="21"/>
                <w:szCs w:val="21"/>
                <w:lang w:eastAsia="zh-CN"/>
              </w:rPr>
              <w:drawing>
                <wp:anchor distT="0" distB="0" distL="114300" distR="114300" simplePos="0" relativeHeight="251697152" behindDoc="0" locked="0" layoutInCell="1" allowOverlap="1">
                  <wp:simplePos x="0" y="0"/>
                  <wp:positionH relativeFrom="column">
                    <wp:posOffset>708660</wp:posOffset>
                  </wp:positionH>
                  <wp:positionV relativeFrom="paragraph">
                    <wp:posOffset>56515</wp:posOffset>
                  </wp:positionV>
                  <wp:extent cx="777240" cy="234950"/>
                  <wp:effectExtent l="0" t="0" r="0" b="5715"/>
                  <wp:wrapSquare wrapText="bothSides"/>
                  <wp:docPr id="6" name="图片 6"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丽英电子签"/>
                          <pic:cNvPicPr>
                            <a:picLocks noChangeAspect="1"/>
                          </pic:cNvPicPr>
                        </pic:nvPicPr>
                        <pic:blipFill>
                          <a:blip r:embed="rId10"/>
                          <a:stretch>
                            <a:fillRect/>
                          </a:stretch>
                        </pic:blipFill>
                        <pic:spPr>
                          <a:xfrm>
                            <a:off x="0" y="0"/>
                            <a:ext cx="777240" cy="234950"/>
                          </a:xfrm>
                          <a:prstGeom prst="rect">
                            <a:avLst/>
                          </a:prstGeom>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0086F4B1"/>
    <w:multiLevelType w:val="singleLevel"/>
    <w:tmpl w:val="0086F4B1"/>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49065B4"/>
    <w:rsid w:val="3DAD39A3"/>
    <w:rsid w:val="5AE44EFC"/>
    <w:rsid w:val="69B86F74"/>
    <w:rsid w:val="73C80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qFormat/>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2022-06-30T16:10:51Z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