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outlineLvl w:val="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963"/>
        <w:gridCol w:w="10033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抽样计划</w:t>
            </w:r>
          </w:p>
        </w:tc>
        <w:tc>
          <w:tcPr>
            <w:tcW w:w="963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涉及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受审核部门：无锡万华机械有限公司    陪同人员：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郭嵘</w:t>
            </w:r>
          </w:p>
        </w:tc>
        <w:tc>
          <w:tcPr>
            <w:tcW w:w="159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李丽英、宋翠琳</w:t>
            </w:r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、徐申（远程审核工具采用微信、腾讯会议、电话、文件传输等）</w:t>
            </w:r>
          </w:p>
          <w:p>
            <w:pPr>
              <w:spacing w:before="12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rFonts w:asciiTheme="minorEastAsia" w:hAnsiTheme="minorEastAsia" w:eastAsiaTheme="minorEastAsia"/>
                <w:color w:val="000000"/>
              </w:rPr>
              <w:t>2022年06月24日</w:t>
            </w:r>
            <w:bookmarkEnd w:id="1"/>
          </w:p>
        </w:tc>
        <w:tc>
          <w:tcPr>
            <w:tcW w:w="159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9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  <w:shd w:val="pct10" w:color="auto" w:fill="FFFFFF"/>
              </w:rPr>
              <w:t>合同基本信息确认</w:t>
            </w:r>
            <w:r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  <w:t>: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核对资质证书（营业执照、生产（安全）许可证、行业许可证、3C证书等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原件</w:t>
            </w:r>
            <w:r>
              <w:rPr>
                <w:rFonts w:hint="eastAsia" w:asciiTheme="minorEastAsia" w:hAnsiTheme="minorEastAsia" w:eastAsiaTheme="minorEastAsia"/>
              </w:rPr>
              <w:t>和复印件</w:t>
            </w:r>
            <w:r>
              <w:rPr>
                <w:rFonts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</w:rPr>
              <w:t>扫描件的一致性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现场检查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 xml:space="preserve">《营业执照》 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：□正本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副本； □原件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编号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：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>91320211720626239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G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 有效期：</w:t>
            </w:r>
            <w:r>
              <w:rPr>
                <w:rFonts w:asciiTheme="minorEastAsia" w:hAnsiTheme="minorEastAsia" w:eastAsiaTheme="minorEastAsia"/>
                <w:szCs w:val="21"/>
              </w:rPr>
              <w:t>2002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月0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日至长期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经营范围的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：汽车零部件及配套附件、汽车冲压件、热成型冲压件、焊接件、金属结构件的研发、制造、加工；铝压延加工；金属表面处理加工；道路普通货物运输；自营和代理各类商品及技术的进出口业务（国家限定企业经营或禁止进出口的商品和技术除外）。（依法须经批准的项目，经相关部门批准后方可开展经营活动） </w:t>
            </w:r>
          </w:p>
          <w:p>
            <w:pPr>
              <w:ind w:firstLine="422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认证申请范围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汽车零部件的制造所涉及的能源管理活动。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证件有效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证件失效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范围合规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同上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</w:t>
            </w:r>
            <w:r>
              <w:rPr>
                <w:rFonts w:hint="eastAsia"/>
                <w:b/>
                <w:bCs/>
                <w:szCs w:val="21"/>
              </w:rPr>
              <w:t>可证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证件有效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证件失效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范围合规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确定审核范围的合理性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注册地址：</w:t>
            </w:r>
            <w:r>
              <w:rPr>
                <w:rFonts w:hint="eastAsia" w:asciiTheme="minorEastAsia" w:hAnsiTheme="minorEastAsia" w:eastAsiaTheme="minorEastAsia"/>
              </w:rPr>
              <w:t>无锡市运河西路2688号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与《营业执照》和《</w:t>
            </w: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C产品认证证书》内容一致。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经营地址：无锡市运河西路2688号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</w:rPr>
              <w:t>与生产或服务现场一致。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确定多现场（固定）的地址（适用时）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多现场的名称和具体位置：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现场1：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现场</w:t>
            </w:r>
            <w:r>
              <w:rPr>
                <w:rFonts w:asciiTheme="minorEastAsia" w:hAnsiTheme="minorEastAsia" w:eastAsiaTheme="minorEastAsia"/>
                <w:color w:val="000000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与申请时提供的《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》是否一致</w:t>
            </w:r>
          </w:p>
          <w:p>
            <w:pPr>
              <w:rPr>
                <w:rFonts w:asciiTheme="minorEastAsia" w:hAnsiTheme="minorEastAsia" w:eastAsiaTheme="minorEastAsia"/>
                <w:color w:val="FF0000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确定临时现场的地址（适用时）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临时现场的名称和具体位置：</w:t>
            </w:r>
          </w:p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现场1：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现场</w:t>
            </w:r>
            <w:r>
              <w:rPr>
                <w:rFonts w:asciiTheme="minorEastAsia" w:hAnsiTheme="minorEastAsia" w:eastAsiaTheme="minorEastAsia"/>
                <w:color w:val="000000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》是否一致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对</w:t>
            </w:r>
            <w:r>
              <w:rPr>
                <w:rFonts w:asciiTheme="minorEastAsia" w:hAnsiTheme="minorEastAsia" w:eastAsiaTheme="minorEastAsia"/>
              </w:rPr>
              <w:t>多场所</w:t>
            </w:r>
            <w:r>
              <w:rPr>
                <w:rFonts w:hint="eastAsia" w:asciiTheme="minorEastAsia" w:hAnsiTheme="minorEastAsia" w:eastAsiaTheme="minorEastAsia"/>
              </w:rPr>
              <w:t>/临时场所</w:t>
            </w:r>
            <w:r>
              <w:rPr>
                <w:rFonts w:asciiTheme="minorEastAsia" w:hAnsiTheme="minorEastAsia" w:eastAsiaTheme="minorEastAsia"/>
              </w:rPr>
              <w:t>建立的控制水平（</w:t>
            </w:r>
            <w:r>
              <w:rPr>
                <w:rFonts w:hint="eastAsia" w:asciiTheme="minorEastAsia" w:hAnsiTheme="minorEastAsia" w:eastAsiaTheme="minorEastAsia"/>
              </w:rPr>
              <w:t>适用</w:t>
            </w:r>
            <w:r>
              <w:rPr>
                <w:rFonts w:asciiTheme="minorEastAsia" w:hAnsiTheme="minorEastAsia" w:eastAsiaTheme="minorEastAsia"/>
              </w:rPr>
              <w:t>时）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与组织总部在同一管理体系下运行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组织总部有权对</w:t>
            </w:r>
            <w:r>
              <w:rPr>
                <w:rFonts w:asciiTheme="minorEastAsia" w:hAnsiTheme="minorEastAsia" w:eastAsiaTheme="minorEastAsia"/>
              </w:rPr>
              <w:t>多场所</w:t>
            </w:r>
            <w:r>
              <w:rPr>
                <w:rFonts w:hint="eastAsia" w:asciiTheme="minorEastAsia" w:hAnsiTheme="minorEastAsia" w:eastAsiaTheme="minorEastAsia"/>
              </w:rPr>
              <w:t>/临时场所进行监督管理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按照统一安排实施内部审核（不强制同一时段）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与组织总部一同进行管理评审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确定生产/服务流程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生产/服务流程图：</w:t>
            </w:r>
          </w:p>
          <w:p>
            <w:pPr>
              <w:spacing w:line="360" w:lineRule="auto"/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原材料检验—→焊接—→热成型—→激光切割—→抛丸—→冲压—→检验—→入库—→出厂。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确定有效的员工人数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认证范围内管理体系覆盖的人数　</w:t>
            </w:r>
            <w:r>
              <w:rPr>
                <w:rFonts w:asciiTheme="minorEastAsia" w:hAnsiTheme="minorEastAsia" w:eastAsiaTheme="minorEastAsia"/>
                <w:szCs w:val="21"/>
              </w:rPr>
              <w:t>120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人（总计3</w:t>
            </w:r>
            <w:r>
              <w:rPr>
                <w:rFonts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人）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bookmarkStart w:id="2" w:name="_Hlk106031277"/>
            <w:r>
              <w:rPr>
                <w:rFonts w:hint="eastAsia" w:asciiTheme="minorEastAsia" w:hAnsiTheme="minorEastAsia" w:eastAsiaTheme="minorEastAsia"/>
                <w:szCs w:val="18"/>
              </w:rPr>
              <w:t>管理人员</w:t>
            </w:r>
            <w:r>
              <w:rPr>
                <w:rFonts w:hint="eastAsia" w:asciiTheme="minorEastAsia" w:hAnsiTheme="minorEastAsia" w:eastAsiaTheme="minorEastAsia"/>
                <w:szCs w:val="1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；操作人员</w:t>
            </w:r>
            <w:r>
              <w:rPr>
                <w:rFonts w:hint="eastAsia" w:asciiTheme="minorEastAsia" w:hAnsiTheme="minorEastAsia" w:eastAsiaTheme="minorEastAsia"/>
                <w:szCs w:val="18"/>
                <w:lang w:val="en-US" w:eastAsia="zh-CN"/>
              </w:rPr>
              <w:t>99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；劳务派遣人员0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；临时工0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季节工0人</w:t>
            </w:r>
            <w:bookmarkEnd w:id="2"/>
            <w:r>
              <w:rPr>
                <w:rFonts w:hint="eastAsia" w:asciiTheme="minorEastAsia" w:hAnsiTheme="minorEastAsia" w:eastAsiaTheme="minorEastAsia"/>
                <w:szCs w:val="18"/>
              </w:rPr>
              <w:t>；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与申请一致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bookmarkStart w:id="3" w:name="_Hlk106958738"/>
            <w:r>
              <w:rPr>
                <w:rFonts w:hint="eastAsia" w:asciiTheme="minorEastAsia" w:hAnsiTheme="minorEastAsia" w:eastAsiaTheme="minorEastAsia"/>
                <w:szCs w:val="18"/>
              </w:rPr>
              <w:t>生产/</w:t>
            </w:r>
            <w:bookmarkStart w:id="4" w:name="_Hlk106032743"/>
            <w:r>
              <w:rPr>
                <w:rFonts w:hint="eastAsia" w:asciiTheme="minorEastAsia" w:hAnsiTheme="minorEastAsia" w:eastAsiaTheme="minorEastAsia"/>
                <w:szCs w:val="18"/>
              </w:rPr>
              <w:t>服务的班次</w:t>
            </w:r>
            <w:bookmarkEnd w:id="4"/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bookmarkStart w:id="5" w:name="_Hlk106864506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□单班（例如：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8:00- 12:00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14:00-20:00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；）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双班（例如：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早班</w:t>
            </w:r>
            <w:r>
              <w:rPr>
                <w:rFonts w:asciiTheme="minorEastAsia" w:hAnsiTheme="minorEastAsia" w:eastAsiaTheme="minorEastAsia"/>
                <w:szCs w:val="21"/>
              </w:rPr>
              <w:t>7:30-19:30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；晚班</w:t>
            </w:r>
            <w:r>
              <w:rPr>
                <w:rFonts w:asciiTheme="minorEastAsia" w:hAnsiTheme="minorEastAsia" w:eastAsiaTheme="minorEastAsia"/>
                <w:szCs w:val="21"/>
              </w:rPr>
              <w:t>19:30-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次日</w:t>
            </w:r>
            <w:r>
              <w:rPr>
                <w:rFonts w:asciiTheme="minorEastAsia" w:hAnsiTheme="minorEastAsia" w:eastAsiaTheme="minorEastAsia"/>
                <w:szCs w:val="21"/>
              </w:rPr>
              <w:t>7:30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）——1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□三班（例如：早班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8:00-16:00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；晚班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16:00-24:00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；夜班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24:00-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次日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08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）</w:t>
            </w:r>
            <w:bookmarkEnd w:id="5"/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体系运行时间是否满足</w:t>
            </w:r>
            <w:r>
              <w:rPr>
                <w:rFonts w:asciiTheme="minorEastAsia" w:hAnsiTheme="minorEastAsia" w:eastAsiaTheme="minorEastAsia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个月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管理手册发布的时间：2021年6月1</w:t>
            </w:r>
            <w:r>
              <w:rPr>
                <w:rFonts w:asciiTheme="minorEastAsia" w:hAnsiTheme="minorEastAsia" w:eastAsiaTheme="minorEastAsia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日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>至今管理体系已运行</w:t>
            </w:r>
            <w:r>
              <w:rPr>
                <w:rFonts w:asciiTheme="minorEastAsia" w:hAnsiTheme="minorEastAsia" w:eastAsiaTheme="minorEastAsia"/>
              </w:rPr>
              <w:t>6</w:t>
            </w:r>
            <w:r>
              <w:rPr>
                <w:rFonts w:hint="eastAsia" w:asciiTheme="minorEastAsia" w:hAnsiTheme="minorEastAsia" w:eastAsiaTheme="minorEastAsia"/>
              </w:rPr>
              <w:t>个月以上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至今管理体系运行不足</w:t>
            </w:r>
            <w:r>
              <w:rPr>
                <w:rFonts w:asciiTheme="minorEastAsia" w:hAnsiTheme="minorEastAsia" w:eastAsiaTheme="minorEastAsia"/>
              </w:rPr>
              <w:t>6</w:t>
            </w:r>
            <w:r>
              <w:rPr>
                <w:rFonts w:hint="eastAsia" w:asciiTheme="minorEastAsia" w:hAnsiTheme="minorEastAsia" w:eastAsiaTheme="minorEastAsia"/>
              </w:rPr>
              <w:t>个月以上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组织对相关标准的宣贯培训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标准宣贯的时间：2</w:t>
            </w:r>
            <w:r>
              <w:rPr>
                <w:rFonts w:asciiTheme="minorEastAsia" w:hAnsiTheme="minorEastAsia" w:eastAsiaTheme="minorEastAsia"/>
                <w:szCs w:val="18"/>
              </w:rPr>
              <w:t>021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年7月1</w:t>
            </w:r>
            <w:r>
              <w:rPr>
                <w:rFonts w:asciiTheme="minorEastAsia" w:hAnsiTheme="minorEastAsia" w:eastAsiaTheme="minorEastAsia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日、2</w:t>
            </w:r>
            <w:r>
              <w:rPr>
                <w:rFonts w:asciiTheme="minorEastAsia" w:hAnsiTheme="minorEastAsia" w:eastAsiaTheme="minorEastAsia"/>
                <w:szCs w:val="18"/>
              </w:rPr>
              <w:t>022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年</w:t>
            </w:r>
            <w:r>
              <w:rPr>
                <w:rFonts w:asciiTheme="minorEastAsia" w:hAnsiTheme="minorEastAsia" w:eastAsiaTheme="minorEastAsia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月6日共2次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□QMS  □EMS  □OHSMS  □FSMSMS  □HACCP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>E</w:t>
            </w:r>
            <w:r>
              <w:rPr>
                <w:rFonts w:asciiTheme="minorEastAsia" w:hAnsiTheme="minorEastAsia" w:eastAsiaTheme="minorEastAsia"/>
                <w:szCs w:val="21"/>
              </w:rPr>
              <w:t>n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MS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>已</w:t>
            </w:r>
            <w:bookmarkStart w:id="6" w:name="_Hlk106864623"/>
            <w:r>
              <w:rPr>
                <w:rFonts w:hint="eastAsia" w:asciiTheme="minorEastAsia" w:hAnsiTheme="minorEastAsia" w:eastAsiaTheme="minorEastAsia"/>
              </w:rPr>
              <w:t>培训了</w:t>
            </w:r>
            <w:bookmarkStart w:id="7" w:name="_Hlk106032888"/>
            <w:r>
              <w:rPr>
                <w:rFonts w:hint="eastAsia" w:asciiTheme="minorEastAsia" w:hAnsiTheme="minorEastAsia" w:eastAsiaTheme="minorEastAsia"/>
              </w:rPr>
              <w:t>相</w:t>
            </w:r>
            <w:bookmarkStart w:id="8" w:name="_Hlk106958803"/>
            <w:r>
              <w:rPr>
                <w:rFonts w:hint="eastAsia" w:asciiTheme="minorEastAsia" w:hAnsiTheme="minorEastAsia" w:eastAsiaTheme="minorEastAsia"/>
              </w:rPr>
              <w:t>关标准和内审员知识</w:t>
            </w:r>
            <w:bookmarkEnd w:id="6"/>
            <w:bookmarkEnd w:id="7"/>
            <w:bookmarkEnd w:id="8"/>
            <w:r>
              <w:rPr>
                <w:rFonts w:hint="eastAsia" w:asciiTheme="minorEastAsia" w:hAnsiTheme="minorEastAsia" w:eastAsiaTheme="minorEastAsia"/>
              </w:rPr>
              <w:t>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至今未培训相关标准和内审员知识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员工对相关标准的认知和能力（应知应会、持证上岗等）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>满足要求，□基本满足要求，□不满足要求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 确定外部提供过程、产品和服务（外包过程）：</w:t>
            </w:r>
          </w:p>
          <w:p>
            <w:pPr>
              <w:widowControl/>
              <w:ind w:firstLine="210" w:firstLineChars="100"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除了原材料采购，无其他外包过程。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未发生   </w:t>
            </w:r>
            <w:r>
              <w:rPr>
                <w:rFonts w:asciiTheme="minorEastAsia" w:hAnsiTheme="minorEastAsia" w:eastAsiaTheme="minorEastAsia"/>
                <w:color w:val="000000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已收集到以往的不符合项   </w:t>
            </w:r>
            <w:r>
              <w:rPr>
                <w:rFonts w:asciiTheme="minorEastAsia" w:hAnsiTheme="minorEastAsia" w:eastAsiaTheme="minorEastAsia"/>
                <w:color w:val="000000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未收集到以往的不符合项 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 w:asciiTheme="minorEastAsia" w:hAnsiTheme="minorEastAsia" w:eastAsiaTheme="minor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18"/>
              </w:rPr>
              <w:t>遵守法规  清洁生产  创新改造  提高能效。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贯彻情况：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 xml:space="preserve">文件发放 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□标语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 xml:space="preserve">展板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 xml:space="preserve">网站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员工手册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7"/>
              <w:tblW w:w="4932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50"/>
              <w:gridCol w:w="872"/>
              <w:gridCol w:w="3857"/>
              <w:gridCol w:w="22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50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目标</w:t>
                  </w:r>
                </w:p>
              </w:tc>
              <w:tc>
                <w:tcPr>
                  <w:tcW w:w="872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考核</w:t>
                  </w:r>
                </w:p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频次</w:t>
                  </w:r>
                </w:p>
              </w:tc>
              <w:tc>
                <w:tcPr>
                  <w:tcW w:w="3857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计算方法</w:t>
                  </w:r>
                </w:p>
              </w:tc>
              <w:tc>
                <w:tcPr>
                  <w:tcW w:w="229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50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2021年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综合能耗1150 tce</w:t>
                  </w:r>
                </w:p>
              </w:tc>
              <w:tc>
                <w:tcPr>
                  <w:tcW w:w="872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每月</w:t>
                  </w:r>
                </w:p>
              </w:tc>
              <w:tc>
                <w:tcPr>
                  <w:tcW w:w="3857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依据GB</w:t>
                  </w:r>
                  <w:r>
                    <w:rPr>
                      <w:rFonts w:ascii="宋体" w:hAnsi="宋体"/>
                      <w:szCs w:val="21"/>
                    </w:rPr>
                    <w:t>/</w:t>
                  </w:r>
                  <w:r>
                    <w:rPr>
                      <w:rFonts w:hint="eastAsia" w:ascii="宋体" w:hAnsi="宋体"/>
                      <w:szCs w:val="21"/>
                    </w:rPr>
                    <w:t>T 2589-2020《综合能耗计算通则》：</w:t>
                  </w:r>
                </w:p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综合能耗E=电耗量×电力折标系数+水耗量×新水折标系数+氮气耗量×氮气折标系数</w:t>
                  </w:r>
                </w:p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单位产品综合能耗=综合能耗/合格产品万台数</w:t>
                  </w:r>
                </w:p>
                <w:p>
                  <w:pPr>
                    <w:widowControl/>
                    <w:spacing w:before="40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单位产值综合能耗=综合能耗/万元产值</w:t>
                  </w:r>
                </w:p>
              </w:tc>
              <w:tc>
                <w:tcPr>
                  <w:tcW w:w="229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2021全年综合能耗</w:t>
                  </w:r>
                </w:p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9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32</w:t>
                  </w: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 xml:space="preserve">29 </w:t>
                  </w: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tce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50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2021年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单位产品综合能耗0.25 tce/万件</w:t>
                  </w:r>
                </w:p>
              </w:tc>
              <w:tc>
                <w:tcPr>
                  <w:tcW w:w="872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每月</w:t>
                  </w:r>
                </w:p>
              </w:tc>
              <w:tc>
                <w:tcPr>
                  <w:tcW w:w="3857" w:type="dxa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29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2021全年单位产品综合能耗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Times New Roman"/>
                      <w:szCs w:val="21"/>
                      <w:lang w:val="en-US" w:eastAsia="zh-CN"/>
                    </w:rPr>
                    <w:t>84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 xml:space="preserve">9 </w:t>
                  </w: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tce/万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50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2021年单位产值综合能耗</w:t>
                  </w:r>
                </w:p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≤15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 xml:space="preserve"> kg</w:t>
                  </w: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ce/万元</w:t>
                  </w:r>
                </w:p>
              </w:tc>
              <w:tc>
                <w:tcPr>
                  <w:tcW w:w="872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每月</w:t>
                  </w:r>
                </w:p>
              </w:tc>
              <w:tc>
                <w:tcPr>
                  <w:tcW w:w="3857" w:type="dxa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29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hint="eastAsia" w:ascii="宋体" w:hAnsi="宋体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2021全年单位产值综合能耗1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宋体" w:hAnsi="宋体" w:eastAsia="宋体" w:cs="Times New Roman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Times New Roman"/>
                      <w:szCs w:val="21"/>
                      <w:lang w:val="en-US" w:eastAsia="zh-CN"/>
                    </w:rPr>
                    <w:t>069</w:t>
                  </w:r>
                  <w:bookmarkStart w:id="9" w:name="_GoBack"/>
                  <w:bookmarkEnd w:id="9"/>
                  <w:r>
                    <w:rPr>
                      <w:rFonts w:hint="eastAsia" w:ascii="宋体" w:hAnsi="宋体" w:eastAsia="宋体" w:cs="Times New Roman"/>
                      <w:szCs w:val="21"/>
                    </w:rPr>
                    <w:t>tce/万元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50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857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295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组织的文件化体系的结构——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 xml:space="preserve">-《能源管理体系手册》1份；覆盖了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pacing w:val="-2"/>
                <w:szCs w:val="21"/>
              </w:rPr>
              <w:t xml:space="preserve">QMS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□5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0430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pacing w:val="-2"/>
                <w:szCs w:val="21"/>
              </w:rPr>
              <w:t xml:space="preserve">EMS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spacing w:val="-2"/>
                <w:szCs w:val="21"/>
              </w:rPr>
              <w:t xml:space="preserve">OHSMS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pacing w:val="-2"/>
                <w:szCs w:val="21"/>
              </w:rPr>
              <w:t>FS</w:t>
            </w:r>
            <w:r>
              <w:rPr>
                <w:rFonts w:asciiTheme="minorEastAsia" w:hAnsiTheme="minorEastAsia" w:eastAsiaTheme="minorEastAsia"/>
                <w:spacing w:val="-2"/>
                <w:szCs w:val="21"/>
              </w:rPr>
              <w:t xml:space="preserve">MS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pacing w:val="-2"/>
                <w:szCs w:val="21"/>
              </w:rPr>
              <w:t>HACCP</w:t>
            </w:r>
            <w:r>
              <w:rPr>
                <w:rFonts w:asciiTheme="minorEastAsia" w:hAnsiTheme="minorEastAsia" w:eastAsiaTheme="minorEastAsia"/>
                <w:spacing w:val="-2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pacing w:val="-2"/>
                <w:szCs w:val="21"/>
              </w:rPr>
              <w:t>EnMS</w:t>
            </w:r>
          </w:p>
          <w:p>
            <w:pPr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-文件化的程序；2</w:t>
            </w:r>
            <w:r>
              <w:rPr>
                <w:rFonts w:asciiTheme="minorEastAsia" w:hAnsiTheme="minorEastAsia" w:eastAsiaTheme="minorEastAsia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份；详见《受控文件清单》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-作业文件；1</w:t>
            </w:r>
            <w:r>
              <w:rPr>
                <w:rFonts w:asciiTheme="minorEastAsia" w:hAnsiTheme="minorEastAsia" w:eastAsiaTheme="minorEastAsia"/>
                <w:szCs w:val="18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份；详见《受控文件清单》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-记录表格；7</w:t>
            </w:r>
            <w:r>
              <w:rPr>
                <w:rFonts w:asciiTheme="minorEastAsia" w:hAnsiTheme="minorEastAsia" w:eastAsiaTheme="minorEastAsia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份；详见《记录控制清单》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b/>
                <w:bCs/>
                <w:szCs w:val="18"/>
                <w:shd w:val="pct10" w:color="auto" w:fill="FFFFFF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自管理体系建立后，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于2</w:t>
            </w:r>
            <w:r>
              <w:rPr>
                <w:rFonts w:asciiTheme="minorEastAsia" w:hAnsiTheme="minorEastAsia" w:eastAsiaTheme="minorEastAsia"/>
                <w:szCs w:val="18"/>
              </w:rPr>
              <w:t>022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年1月2</w:t>
            </w:r>
            <w:r>
              <w:rPr>
                <w:rFonts w:asciiTheme="minorEastAsia" w:hAnsiTheme="minorEastAsia" w:eastAsiaTheme="minorEastAsia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日～1月2</w:t>
            </w:r>
            <w:r>
              <w:rPr>
                <w:rFonts w:asciiTheme="minorEastAsia" w:hAnsiTheme="minorEastAsia" w:eastAsiaTheme="minorEastAsia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内审计划、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内审检查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表、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18"/>
              </w:rPr>
              <w:t>不符合项报告1份、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szCs w:val="18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自管理体系建立后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，于2</w:t>
            </w:r>
            <w:r>
              <w:rPr>
                <w:rFonts w:asciiTheme="minorEastAsia" w:hAnsiTheme="minorEastAsia" w:eastAsiaTheme="minorEastAsia"/>
                <w:szCs w:val="18"/>
              </w:rPr>
              <w:t>022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年2月1</w:t>
            </w:r>
            <w:r>
              <w:rPr>
                <w:rFonts w:asciiTheme="minorEastAsia" w:hAnsiTheme="minorEastAsia" w:eastAsiaTheme="minorEastAsia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日实施了管理评审；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>管理评审输入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18"/>
              </w:rPr>
              <w:t>管理评审输出（报告）</w:t>
            </w:r>
          </w:p>
          <w:p>
            <w:pPr>
              <w:rPr>
                <w:rFonts w:asciiTheme="minorEastAsia" w:hAnsiTheme="minorEastAsia" w:eastAsiaTheme="minorEastAsia"/>
                <w:spacing w:val="-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Cs w:val="21"/>
              </w:rPr>
              <w:t>评审输入有：管理评审计划、各部门运行总结、评审会议签到表</w:t>
            </w:r>
          </w:p>
          <w:p>
            <w:pPr>
              <w:rPr>
                <w:rFonts w:asciiTheme="minorEastAsia" w:hAnsiTheme="minorEastAsia" w:eastAsiaTheme="minorEastAsia"/>
                <w:spacing w:val="-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Cs w:val="21"/>
              </w:rPr>
              <w:t>评审输出有：管理评审报告</w:t>
            </w:r>
          </w:p>
          <w:p>
            <w:pPr>
              <w:rPr>
                <w:rFonts w:asciiTheme="minorEastAsia" w:hAnsiTheme="minorEastAsia" w:eastAsiaTheme="minorEastAsia"/>
                <w:szCs w:val="18"/>
                <w:highlight w:val="cyan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rFonts w:asciiTheme="minorEastAsia" w:hAnsiTheme="minorEastAsia" w:eastAsiaTheme="minorEastAsia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根据该企业的产品/服务特性确认能源消耗的种类：电、水、氮气。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  <w:highlight w:val="magenta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重点用能单位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一般用能单位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其他——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能源目标指标完成情况：</w:t>
            </w:r>
          </w:p>
          <w:tbl>
            <w:tblPr>
              <w:tblStyle w:val="8"/>
              <w:tblW w:w="499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5"/>
              <w:gridCol w:w="2258"/>
              <w:gridCol w:w="4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006" w:type="dxa"/>
                  <w:vAlign w:val="center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szCs w:val="21"/>
                    </w:rPr>
                    <w:t>能耗指标</w:t>
                  </w:r>
                </w:p>
              </w:tc>
              <w:tc>
                <w:tcPr>
                  <w:tcW w:w="2258" w:type="dxa"/>
                  <w:vAlign w:val="center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szCs w:val="21"/>
                    </w:rPr>
                    <w:t>完成情况</w:t>
                  </w:r>
                </w:p>
              </w:tc>
              <w:tc>
                <w:tcPr>
                  <w:tcW w:w="4524" w:type="dxa"/>
                  <w:vAlign w:val="center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/>
                      <w:bCs/>
                      <w:szCs w:val="21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3006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Cs w:val="21"/>
                    </w:rPr>
                    <w:t>国家限额指标</w:t>
                  </w:r>
                </w:p>
              </w:tc>
              <w:tc>
                <w:tcPr>
                  <w:tcW w:w="2258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□已完成 □未完成</w:t>
                  </w:r>
                </w:p>
              </w:tc>
              <w:tc>
                <w:tcPr>
                  <w:tcW w:w="4524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Cs w:val="21"/>
                    </w:rPr>
                    <w:t>无限额指标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006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Cs w:val="21"/>
                    </w:rPr>
                    <w:t>地方政府下达的指标</w:t>
                  </w:r>
                </w:p>
              </w:tc>
              <w:tc>
                <w:tcPr>
                  <w:tcW w:w="2258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□已完成  □未完成</w:t>
                  </w:r>
                </w:p>
              </w:tc>
              <w:tc>
                <w:tcPr>
                  <w:tcW w:w="4524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Cs w:val="21"/>
                    </w:rPr>
                    <w:t>政府未下达指标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006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Cs w:val="21"/>
                    </w:rPr>
                    <w:t>集团或上一级部门下达的指标</w:t>
                  </w:r>
                </w:p>
              </w:tc>
              <w:tc>
                <w:tcPr>
                  <w:tcW w:w="2258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□已完成  □未完成</w:t>
                  </w:r>
                </w:p>
              </w:tc>
              <w:tc>
                <w:tcPr>
                  <w:tcW w:w="4524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Cs w:val="21"/>
                    </w:rPr>
                    <w:t>无上级公司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006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Cs w:val="21"/>
                    </w:rPr>
                    <w:t>本单位制定的目标指标</w:t>
                  </w:r>
                </w:p>
              </w:tc>
              <w:tc>
                <w:tcPr>
                  <w:tcW w:w="2258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sym w:font="Wingdings 2" w:char="0052"/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已完成  □未完成</w:t>
                  </w:r>
                </w:p>
              </w:tc>
              <w:tc>
                <w:tcPr>
                  <w:tcW w:w="4524" w:type="dxa"/>
                  <w:vAlign w:val="center"/>
                </w:tcPr>
                <w:p>
                  <w:pPr>
                    <w:rPr>
                      <w:rFonts w:cs="宋体"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现有产量与能源评估的产能的对比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现有产量：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能评的产能：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未超出产能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已超出产能，说明：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查看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合规性证明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节能评估报告</w:t>
            </w:r>
            <w:r>
              <w:rPr>
                <w:rFonts w:asciiTheme="minorEastAsia" w:hAnsiTheme="minorEastAsia" w:eastAsiaTheme="minorEastAsia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编号：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日期：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结论：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节能项目验收</w:t>
            </w:r>
            <w:r>
              <w:rPr>
                <w:rFonts w:asciiTheme="minorEastAsia" w:hAnsiTheme="minorEastAsia" w:eastAsiaTheme="minorEastAsia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编号：日期：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结论：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能源审计报告</w:t>
            </w:r>
            <w:r>
              <w:rPr>
                <w:rFonts w:asciiTheme="minorEastAsia" w:hAnsiTheme="minorEastAsia" w:eastAsiaTheme="minorEastAsia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编号：日期：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年     月     日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结论：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 查看主要能源使用的识别的充分性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充分 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不充分，需要完善：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-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合理 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不合理，需要完善： 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合理 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不合理，需要完善： 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-了解适用的能源法律和其他要求的获取、识别和实施情况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充分 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不充分，需要完善： 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有效 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不足，需要完善：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- 了解组织能源评审报告的完成情况 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有效 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不足，需要完善：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-近一年是否进行了技术改进？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未发生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发生过，说明：</w:t>
            </w:r>
          </w:p>
          <w:p>
            <w:pPr>
              <w:rPr>
                <w:rFonts w:asciiTheme="minorEastAsia" w:hAnsiTheme="minorEastAsia" w:eastAsiaTheme="minorEastAsia"/>
                <w:szCs w:val="21"/>
                <w:highlight w:val="red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-能源采购包括：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电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热水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煤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天然气  </w:t>
            </w:r>
            <w:r>
              <w:rPr>
                <w:rFonts w:asciiTheme="minorEastAsia" w:hAnsiTheme="minorEastAsia" w:eastAsiaTheme="minorEastAsia"/>
                <w:szCs w:val="21"/>
              </w:rPr>
              <w:t>□燃料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油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蒸汽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压缩空气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压缩气体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其他：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氮气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21"/>
                <w:shd w:val="pct10" w:color="auto" w:fill="FFFFFF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 了解节能知识和技能教育的实施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不充分，需要完善：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电力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热水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煤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天然气  </w:t>
            </w:r>
            <w:r>
              <w:rPr>
                <w:rFonts w:asciiTheme="minorEastAsia" w:hAnsiTheme="minorEastAsia" w:eastAsiaTheme="minorEastAsia"/>
              </w:rPr>
              <w:t>□燃料</w:t>
            </w:r>
            <w:r>
              <w:rPr>
                <w:rFonts w:hint="eastAsia" w:asciiTheme="minorEastAsia" w:hAnsiTheme="minorEastAsia" w:eastAsiaTheme="minorEastAsia"/>
              </w:rPr>
              <w:t xml:space="preserve">油  </w:t>
            </w:r>
            <w:r>
              <w:rPr>
                <w:rFonts w:asciiTheme="minorEastAsia" w:hAnsiTheme="minorEastAsia" w:eastAsiaTheme="minorEastAsia"/>
              </w:rPr>
              <w:t>□燃料</w:t>
            </w:r>
            <w:r>
              <w:rPr>
                <w:rFonts w:hint="eastAsia" w:asciiTheme="minorEastAsia" w:hAnsiTheme="minorEastAsia" w:eastAsiaTheme="minorEastAsia"/>
              </w:rPr>
              <w:t xml:space="preserve">气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蒸汽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压缩空气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氮气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 xml:space="preserve">- </w:t>
            </w:r>
            <w:r>
              <w:rPr>
                <w:rFonts w:hint="eastAsia" w:asciiTheme="minorEastAsia" w:hAnsiTheme="minorEastAsia" w:eastAsiaTheme="minorEastAsia"/>
              </w:rPr>
              <w:t>了解节水情况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新鲜水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循环水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化学水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除盐水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其他——  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电力 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热水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煤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天然气   </w:t>
            </w:r>
            <w:r>
              <w:rPr>
                <w:rFonts w:asciiTheme="minorEastAsia" w:hAnsiTheme="minorEastAsia" w:eastAsiaTheme="minorEastAsia"/>
              </w:rPr>
              <w:t>□燃料</w:t>
            </w:r>
            <w:r>
              <w:rPr>
                <w:rFonts w:hint="eastAsia" w:asciiTheme="minorEastAsia" w:hAnsiTheme="minorEastAsia" w:eastAsiaTheme="minorEastAsia"/>
              </w:rPr>
              <w:t xml:space="preserve">油  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蒸汽 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压缩空气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氮气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 了解主要耗能设备的运行效率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机泵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电机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低压配电室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电器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锅炉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机床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锻压设备  其他：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>多段式加热炉、冲压机、激光切割机、焊接机器人、空压机等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机泵 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电机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变压器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电器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锅炉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机床 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锻压设备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ind w:left="210" w:left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无</w:t>
            </w: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 xml:space="preserve">- </w:t>
            </w:r>
            <w:r>
              <w:rPr>
                <w:rFonts w:asciiTheme="minorEastAsia" w:hAnsiTheme="minorEastAsia" w:eastAsiaTheme="minorEastAsia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达标 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不达标，原因：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           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18"/>
              </w:rPr>
            </w:pP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- 了解能源计量器具配备情况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18"/>
              </w:rPr>
              <w:t>用能单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 配备率1</w:t>
            </w:r>
            <w:r>
              <w:rPr>
                <w:rFonts w:asciiTheme="minorEastAsia" w:hAnsiTheme="minorEastAsia" w:eastAsiaTheme="minorEastAsia"/>
                <w:szCs w:val="18"/>
              </w:rPr>
              <w:t xml:space="preserve">00 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%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zCs w:val="18"/>
              </w:rPr>
              <w:t>符合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18"/>
              </w:rPr>
              <w:t>□不符合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 配备等级：</w:t>
            </w:r>
            <w:commentRangeStart w:id="0"/>
            <w:r>
              <w:rPr>
                <w:rFonts w:hint="eastAsia" w:asciiTheme="minorEastAsia" w:hAnsiTheme="minorEastAsia" w:eastAsiaTheme="minorEastAsia"/>
                <w:color w:val="FF0000"/>
                <w:szCs w:val="18"/>
              </w:rPr>
              <w:t>电表1</w:t>
            </w:r>
            <w:r>
              <w:rPr>
                <w:rFonts w:asciiTheme="minorEastAsia" w:hAnsiTheme="minorEastAsia" w:eastAsiaTheme="minorEastAsia"/>
                <w:color w:val="FF0000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/>
                <w:color w:val="FF0000"/>
                <w:szCs w:val="18"/>
              </w:rPr>
              <w:t>水表</w:t>
            </w:r>
            <w:r>
              <w:rPr>
                <w:rFonts w:asciiTheme="minorEastAsia" w:hAnsiTheme="minorEastAsia" w:eastAsiaTheme="minorEastAsia"/>
                <w:color w:val="FF0000"/>
                <w:szCs w:val="18"/>
              </w:rPr>
              <w:t>2.0</w:t>
            </w:r>
            <w:r>
              <w:rPr>
                <w:rFonts w:hint="eastAsia" w:asciiTheme="minorEastAsia" w:hAnsiTheme="minorEastAsia" w:eastAsiaTheme="minorEastAsia"/>
                <w:color w:val="FF0000"/>
                <w:szCs w:val="18"/>
              </w:rPr>
              <w:t>压力表</w:t>
            </w:r>
            <w:commentRangeEnd w:id="0"/>
            <w:r>
              <w:rPr>
                <w:rStyle w:val="11"/>
                <w:color w:val="FF0000"/>
              </w:rPr>
              <w:commentReference w:id="0"/>
            </w:r>
            <w:r>
              <w:rPr>
                <w:rFonts w:hint="eastAsia" w:asciiTheme="minorEastAsia" w:hAnsiTheme="minorEastAsia" w:eastAsiaTheme="minorEastAsia"/>
                <w:color w:val="FF0000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color w:val="FF0000"/>
                <w:szCs w:val="18"/>
              </w:rPr>
              <w:t>.6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szCs w:val="18"/>
              </w:rPr>
              <w:t>符合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18"/>
              </w:rPr>
              <w:t>□不符合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主要次级用能单位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配备率%</w:t>
            </w:r>
            <w:r>
              <w:rPr>
                <w:rFonts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□符合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□不符合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配备等级：  </w:t>
            </w: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□不符合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asciiTheme="minorEastAsia" w:hAnsiTheme="minorEastAsia" w:eastAsiaTheme="minorEastAsia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主要用能设备</w:t>
            </w:r>
            <w:r>
              <w:rPr>
                <w:rFonts w:asciiTheme="minorEastAsia" w:hAnsiTheme="minorEastAsia" w:eastAsiaTheme="minorEastAsia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配备率%</w:t>
            </w:r>
            <w:r>
              <w:rPr>
                <w:rFonts w:asciiTheme="minorEastAsia" w:hAnsiTheme="minorEastAsia" w:eastAsiaTheme="minorEastAsia"/>
                <w:szCs w:val="18"/>
              </w:rPr>
              <w:t xml:space="preserve">  □符合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18"/>
              </w:rPr>
              <w:t>□不符合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 配备等级： </w:t>
            </w:r>
            <w:r>
              <w:rPr>
                <w:rFonts w:asciiTheme="minorEastAsia" w:hAnsiTheme="minorEastAsia" w:eastAsiaTheme="minorEastAsia"/>
                <w:szCs w:val="18"/>
              </w:rPr>
              <w:t xml:space="preserve"> □符合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18"/>
              </w:rPr>
              <w:t>□不符合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szCs w:val="18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相关方的反馈及</w:t>
            </w:r>
            <w:r>
              <w:rPr>
                <w:rFonts w:hint="eastAsia" w:asciiTheme="minorEastAsia" w:hAnsiTheme="minorEastAsia" w:eastAsiaTheme="minorEastAsia"/>
              </w:rPr>
              <w:t>投诉处理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近一年相关方反馈处理情况，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发生过，说明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； 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近一年处罚整改情况，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发生过，说明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； 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近一年重大能源事故情况，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发生过，说明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rFonts w:asciiTheme="minorEastAsia" w:hAnsiTheme="minorEastAsia" w:eastAsiaTheme="minorEastAsia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18"/>
                <w:shd w:val="pct10" w:color="auto" w:fill="FFFFFF"/>
              </w:rPr>
              <w:t>EnMS</w:t>
            </w:r>
            <w:r>
              <w:rPr>
                <w:rFonts w:hint="eastAsia" w:asciiTheme="minorEastAsia" w:hAnsiTheme="minorEastAsia" w:eastAsiaTheme="minorEastAsia"/>
                <w:shd w:val="pct10" w:color="auto" w:fill="FFFFFF"/>
              </w:rPr>
              <w:t>场所巡查</w:t>
            </w:r>
            <w:r>
              <w:rPr>
                <w:rFonts w:asciiTheme="minorEastAsia" w:hAnsiTheme="minorEastAsia" w:eastAsiaTheme="minorEastAsia"/>
                <w:shd w:val="pct10" w:color="auto" w:fill="FFFFFF"/>
              </w:rPr>
              <w:t>: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- 巡视厂区，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工业区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商业区 </w:t>
            </w:r>
            <w:r>
              <w:rPr>
                <w:rFonts w:asciiTheme="minorEastAsia" w:hAnsiTheme="minorEastAsia" w:eastAsiaTheme="minorEastAsia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 xml:space="preserve">生态保护区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其他——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 巡视办公区域和生产区域的能源管理情况，是否存在：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空调温度控制，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长明灯，</w:t>
            </w:r>
            <w:r>
              <w:rPr>
                <w:rFonts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长流水；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天然气使用开关关闭；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其他——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- 巡视生产区域（厂区、车间、锅炉、加热炉、公用工程等），</w:t>
            </w:r>
            <w:r>
              <w:rPr>
                <w:rFonts w:hint="eastAsia" w:asciiTheme="minorEastAsia" w:hAnsiTheme="minorEastAsia" w:eastAsiaTheme="minorEastAsia"/>
                <w:szCs w:val="18"/>
              </w:rPr>
              <w:t>了解能源使用的种类：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燃料气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热水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燃料油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电能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</w:rPr>
              <w:t xml:space="preserve">天然气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压缩空气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蒸汽   </w:t>
            </w:r>
            <w:r>
              <w:rPr>
                <w:rFonts w:asciiTheme="minorEastAsia" w:hAnsiTheme="minorEastAsia" w:eastAsiaTheme="minorEastAsia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>其他：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>氮气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锅炉房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加热炉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</w:rPr>
              <w:t>汽轮机</w:t>
            </w:r>
            <w:r>
              <w:rPr>
                <w:rFonts w:hint="eastAsia" w:asciiTheme="minorEastAsia" w:hAnsiTheme="minorEastAsia" w:eastAsiaTheme="minorEastAsia"/>
              </w:rPr>
              <w:t>、</w:t>
            </w:r>
            <w:r>
              <w:rPr>
                <w:rFonts w:asciiTheme="minorEastAsia" w:hAnsiTheme="minorEastAsia" w:eastAsiaTheme="minorEastAsia"/>
              </w:rPr>
              <w:t>空压机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</w:rPr>
              <w:t xml:space="preserve">高压配电室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低压配电室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空压站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制冷站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污水处理站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改建/扩建施工现场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食堂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其他：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>多段式加热炉、冲压机、激光切割机、焊接机器人、空压机等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 确认生产/服务流程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与提供流程图一致 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与提供流程图不一致，说明：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电动机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工业锅炉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工业炉窑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电器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反应釜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机床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锻压设备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制冷设备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泵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asciiTheme="minorEastAsia" w:hAnsiTheme="minorEastAsia" w:eastAsiaTheme="minorEastAsia"/>
              </w:rPr>
              <w:t>流量计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</w:rPr>
              <w:t xml:space="preserve">温度计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氧化锆测定仪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压力表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</w:rPr>
              <w:t xml:space="preserve">电能表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电流表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电压表  </w:t>
            </w:r>
            <w:r>
              <w:rPr>
                <w:rFonts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与申请信息变更的说明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18"/>
              </w:rPr>
              <w:t>识别二阶段审核的资源配置情况和可行性</w:t>
            </w:r>
          </w:p>
        </w:tc>
        <w:tc>
          <w:tcPr>
            <w:tcW w:w="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□ 识别二阶段审核的资源配置情况</w:t>
            </w:r>
          </w:p>
          <w:p>
            <w:pPr>
              <w:pStyle w:val="16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领导层可以迎审  □交通食宿  □劳保用品</w:t>
            </w:r>
          </w:p>
          <w:p>
            <w:pPr>
              <w:pStyle w:val="16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6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pStyle w:val="16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□ 识别二阶段审核的可行性</w:t>
            </w:r>
          </w:p>
          <w:p>
            <w:pPr>
              <w:pStyle w:val="16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6"/>
              <w:ind w:firstLine="0" w:firstLineChars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</w:tbl>
    <w:p>
      <w:pPr>
        <w:pStyle w:val="4"/>
        <w:spacing w:before="156" w:beforeLines="50" w:after="156" w:afterLines="50"/>
        <w:rPr>
          <w:rFonts w:ascii="宋体" w:hAnsi="宋体"/>
        </w:rPr>
      </w:pPr>
      <w:r>
        <w:rPr>
          <w:rFonts w:hint="eastAsia" w:ascii="宋体" w:hAnsi="宋体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ong cuilin" w:date="2022-06-23T14:40:00Z" w:initials="sc">
    <w:p w14:paraId="2DBE5EF3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BE5E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7.9pt;margin-top:2.6pt;height:20.2pt;width:85.7pt;z-index:251658240;mso-width-relative:page;mso-height-relative:page;" fillcolor="#FFFFFF" filled="t" stroked="f" coordsize="21600,21600" o:gfxdata="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387HLXAAAACgEAAA8AAAAAAAAAAQAgAAAAIgAAAGRycy9kb3ducmV2Lnht&#10;bFBLAQIUABQAAAAIAIdO4kAoQZqW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ong cuilin">
    <w15:presenceInfo w15:providerId="Windows Live" w15:userId="db6887b1cae55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AD"/>
    <w:rsid w:val="0000287A"/>
    <w:rsid w:val="000030B0"/>
    <w:rsid w:val="0000380A"/>
    <w:rsid w:val="000111FA"/>
    <w:rsid w:val="00026DCD"/>
    <w:rsid w:val="000320EF"/>
    <w:rsid w:val="00044897"/>
    <w:rsid w:val="000524A1"/>
    <w:rsid w:val="00054A95"/>
    <w:rsid w:val="00062EEE"/>
    <w:rsid w:val="000740B9"/>
    <w:rsid w:val="00077268"/>
    <w:rsid w:val="0008400B"/>
    <w:rsid w:val="00092DE8"/>
    <w:rsid w:val="00094F28"/>
    <w:rsid w:val="00095431"/>
    <w:rsid w:val="0009634E"/>
    <w:rsid w:val="000B3819"/>
    <w:rsid w:val="000C4C2A"/>
    <w:rsid w:val="000C55B4"/>
    <w:rsid w:val="000D2D66"/>
    <w:rsid w:val="000D6A0A"/>
    <w:rsid w:val="000E64B5"/>
    <w:rsid w:val="000E7606"/>
    <w:rsid w:val="000F0308"/>
    <w:rsid w:val="000F3BBF"/>
    <w:rsid w:val="000F3F29"/>
    <w:rsid w:val="000F783E"/>
    <w:rsid w:val="00114CE1"/>
    <w:rsid w:val="00116BA3"/>
    <w:rsid w:val="001242E6"/>
    <w:rsid w:val="00126CA5"/>
    <w:rsid w:val="001511BE"/>
    <w:rsid w:val="0015195F"/>
    <w:rsid w:val="0016049C"/>
    <w:rsid w:val="00172B36"/>
    <w:rsid w:val="00172C9F"/>
    <w:rsid w:val="001828C9"/>
    <w:rsid w:val="001B52AD"/>
    <w:rsid w:val="001C33C0"/>
    <w:rsid w:val="001C5BBC"/>
    <w:rsid w:val="001D57B7"/>
    <w:rsid w:val="001F0621"/>
    <w:rsid w:val="001F468F"/>
    <w:rsid w:val="001F68EC"/>
    <w:rsid w:val="00210D29"/>
    <w:rsid w:val="0021494C"/>
    <w:rsid w:val="00214A9B"/>
    <w:rsid w:val="00217E0D"/>
    <w:rsid w:val="00235A8C"/>
    <w:rsid w:val="0024451D"/>
    <w:rsid w:val="00252146"/>
    <w:rsid w:val="00256232"/>
    <w:rsid w:val="00260425"/>
    <w:rsid w:val="00274172"/>
    <w:rsid w:val="002761AF"/>
    <w:rsid w:val="00295B65"/>
    <w:rsid w:val="002A1701"/>
    <w:rsid w:val="002A1811"/>
    <w:rsid w:val="002A79F5"/>
    <w:rsid w:val="002B3E66"/>
    <w:rsid w:val="002B4323"/>
    <w:rsid w:val="002C1023"/>
    <w:rsid w:val="002C5255"/>
    <w:rsid w:val="002D1FED"/>
    <w:rsid w:val="002D4AA2"/>
    <w:rsid w:val="002D5212"/>
    <w:rsid w:val="002E04FD"/>
    <w:rsid w:val="002E2098"/>
    <w:rsid w:val="002E29D4"/>
    <w:rsid w:val="002E5816"/>
    <w:rsid w:val="002E64D5"/>
    <w:rsid w:val="002F29A1"/>
    <w:rsid w:val="002F3359"/>
    <w:rsid w:val="002F6D56"/>
    <w:rsid w:val="003015F6"/>
    <w:rsid w:val="00303122"/>
    <w:rsid w:val="00304F5A"/>
    <w:rsid w:val="003229C0"/>
    <w:rsid w:val="00327340"/>
    <w:rsid w:val="0033799A"/>
    <w:rsid w:val="0037262F"/>
    <w:rsid w:val="003818DE"/>
    <w:rsid w:val="00383362"/>
    <w:rsid w:val="003875DC"/>
    <w:rsid w:val="003900B8"/>
    <w:rsid w:val="003909B4"/>
    <w:rsid w:val="003A0851"/>
    <w:rsid w:val="003A521F"/>
    <w:rsid w:val="003B425B"/>
    <w:rsid w:val="003B5E4E"/>
    <w:rsid w:val="003B5F58"/>
    <w:rsid w:val="003C1D6A"/>
    <w:rsid w:val="003C6465"/>
    <w:rsid w:val="003F1201"/>
    <w:rsid w:val="003F415F"/>
    <w:rsid w:val="00410B04"/>
    <w:rsid w:val="004145B8"/>
    <w:rsid w:val="00430BB7"/>
    <w:rsid w:val="00444033"/>
    <w:rsid w:val="00451770"/>
    <w:rsid w:val="00453FA4"/>
    <w:rsid w:val="0048250F"/>
    <w:rsid w:val="00495B0A"/>
    <w:rsid w:val="004A035C"/>
    <w:rsid w:val="004A23DC"/>
    <w:rsid w:val="004A2956"/>
    <w:rsid w:val="004D07F9"/>
    <w:rsid w:val="004D12BF"/>
    <w:rsid w:val="004D7CE4"/>
    <w:rsid w:val="004E6F77"/>
    <w:rsid w:val="004F2B0B"/>
    <w:rsid w:val="004F4908"/>
    <w:rsid w:val="00500174"/>
    <w:rsid w:val="005046BB"/>
    <w:rsid w:val="005054A2"/>
    <w:rsid w:val="005061F3"/>
    <w:rsid w:val="00510BB8"/>
    <w:rsid w:val="00511117"/>
    <w:rsid w:val="00512090"/>
    <w:rsid w:val="00530EEE"/>
    <w:rsid w:val="005353FE"/>
    <w:rsid w:val="0053671D"/>
    <w:rsid w:val="005413CD"/>
    <w:rsid w:val="00542551"/>
    <w:rsid w:val="00546ABD"/>
    <w:rsid w:val="00547240"/>
    <w:rsid w:val="00547B24"/>
    <w:rsid w:val="00551392"/>
    <w:rsid w:val="00561ECA"/>
    <w:rsid w:val="00563549"/>
    <w:rsid w:val="00566DB2"/>
    <w:rsid w:val="005776DE"/>
    <w:rsid w:val="0058482C"/>
    <w:rsid w:val="005A44F2"/>
    <w:rsid w:val="005B4D69"/>
    <w:rsid w:val="005E16BB"/>
    <w:rsid w:val="005F6A2F"/>
    <w:rsid w:val="005F7344"/>
    <w:rsid w:val="005F77ED"/>
    <w:rsid w:val="00607295"/>
    <w:rsid w:val="00624773"/>
    <w:rsid w:val="00627DA9"/>
    <w:rsid w:val="00642E9F"/>
    <w:rsid w:val="0065294F"/>
    <w:rsid w:val="00680B58"/>
    <w:rsid w:val="00687657"/>
    <w:rsid w:val="0069235F"/>
    <w:rsid w:val="006927A3"/>
    <w:rsid w:val="006C0097"/>
    <w:rsid w:val="006C39B8"/>
    <w:rsid w:val="006C45AA"/>
    <w:rsid w:val="006F2D2D"/>
    <w:rsid w:val="00711E23"/>
    <w:rsid w:val="00735A21"/>
    <w:rsid w:val="0075183A"/>
    <w:rsid w:val="00754D14"/>
    <w:rsid w:val="00756C9F"/>
    <w:rsid w:val="0076347C"/>
    <w:rsid w:val="00772889"/>
    <w:rsid w:val="00773095"/>
    <w:rsid w:val="00781EAB"/>
    <w:rsid w:val="00783BC6"/>
    <w:rsid w:val="00791F77"/>
    <w:rsid w:val="007926CA"/>
    <w:rsid w:val="007A2B74"/>
    <w:rsid w:val="007A542F"/>
    <w:rsid w:val="007D0DA4"/>
    <w:rsid w:val="007D6031"/>
    <w:rsid w:val="0081009A"/>
    <w:rsid w:val="008113B3"/>
    <w:rsid w:val="00815C2D"/>
    <w:rsid w:val="00836E2D"/>
    <w:rsid w:val="008371CC"/>
    <w:rsid w:val="00842E43"/>
    <w:rsid w:val="00844405"/>
    <w:rsid w:val="00861EC7"/>
    <w:rsid w:val="00864912"/>
    <w:rsid w:val="0087549E"/>
    <w:rsid w:val="00877A98"/>
    <w:rsid w:val="00884E5C"/>
    <w:rsid w:val="008872D3"/>
    <w:rsid w:val="0089048D"/>
    <w:rsid w:val="0089054F"/>
    <w:rsid w:val="008952D5"/>
    <w:rsid w:val="008A2D0A"/>
    <w:rsid w:val="008C1184"/>
    <w:rsid w:val="008C2A33"/>
    <w:rsid w:val="008E3507"/>
    <w:rsid w:val="009072DD"/>
    <w:rsid w:val="009122F3"/>
    <w:rsid w:val="00921301"/>
    <w:rsid w:val="00924F01"/>
    <w:rsid w:val="0092661C"/>
    <w:rsid w:val="00926B9F"/>
    <w:rsid w:val="00930F08"/>
    <w:rsid w:val="0093548D"/>
    <w:rsid w:val="00935611"/>
    <w:rsid w:val="0094219C"/>
    <w:rsid w:val="00951FEB"/>
    <w:rsid w:val="0095670C"/>
    <w:rsid w:val="00971D08"/>
    <w:rsid w:val="009815F7"/>
    <w:rsid w:val="00994D9E"/>
    <w:rsid w:val="009A4051"/>
    <w:rsid w:val="009A5BE5"/>
    <w:rsid w:val="009B5BB8"/>
    <w:rsid w:val="009D0492"/>
    <w:rsid w:val="009F3960"/>
    <w:rsid w:val="009F3ABF"/>
    <w:rsid w:val="009F47F7"/>
    <w:rsid w:val="009F7875"/>
    <w:rsid w:val="00A019C2"/>
    <w:rsid w:val="00A053DE"/>
    <w:rsid w:val="00A070C1"/>
    <w:rsid w:val="00A10741"/>
    <w:rsid w:val="00A11265"/>
    <w:rsid w:val="00A222D3"/>
    <w:rsid w:val="00A22833"/>
    <w:rsid w:val="00A41BA2"/>
    <w:rsid w:val="00A57158"/>
    <w:rsid w:val="00A81664"/>
    <w:rsid w:val="00A96CE7"/>
    <w:rsid w:val="00AB03E7"/>
    <w:rsid w:val="00AB3F38"/>
    <w:rsid w:val="00AB6426"/>
    <w:rsid w:val="00AC2FAE"/>
    <w:rsid w:val="00AD15DF"/>
    <w:rsid w:val="00AE5927"/>
    <w:rsid w:val="00AE5C06"/>
    <w:rsid w:val="00B23952"/>
    <w:rsid w:val="00B23CBE"/>
    <w:rsid w:val="00B31F6E"/>
    <w:rsid w:val="00B3373A"/>
    <w:rsid w:val="00B40293"/>
    <w:rsid w:val="00B437EE"/>
    <w:rsid w:val="00B5031D"/>
    <w:rsid w:val="00B50332"/>
    <w:rsid w:val="00B54FD0"/>
    <w:rsid w:val="00B57981"/>
    <w:rsid w:val="00B7657A"/>
    <w:rsid w:val="00B767F5"/>
    <w:rsid w:val="00B77CB0"/>
    <w:rsid w:val="00B86B25"/>
    <w:rsid w:val="00BD7691"/>
    <w:rsid w:val="00BF4241"/>
    <w:rsid w:val="00BF5571"/>
    <w:rsid w:val="00BF6552"/>
    <w:rsid w:val="00C01357"/>
    <w:rsid w:val="00C12C9A"/>
    <w:rsid w:val="00C14159"/>
    <w:rsid w:val="00C2027C"/>
    <w:rsid w:val="00C32BBE"/>
    <w:rsid w:val="00C3492C"/>
    <w:rsid w:val="00C43E75"/>
    <w:rsid w:val="00C52F7A"/>
    <w:rsid w:val="00C555AC"/>
    <w:rsid w:val="00C61945"/>
    <w:rsid w:val="00C62995"/>
    <w:rsid w:val="00C64BA4"/>
    <w:rsid w:val="00C66CAF"/>
    <w:rsid w:val="00C73E49"/>
    <w:rsid w:val="00C84B03"/>
    <w:rsid w:val="00C860A8"/>
    <w:rsid w:val="00C945D9"/>
    <w:rsid w:val="00CA476D"/>
    <w:rsid w:val="00CA64FE"/>
    <w:rsid w:val="00CB0056"/>
    <w:rsid w:val="00CC5CA7"/>
    <w:rsid w:val="00D0060E"/>
    <w:rsid w:val="00D006B3"/>
    <w:rsid w:val="00D01AFE"/>
    <w:rsid w:val="00D0370D"/>
    <w:rsid w:val="00D04934"/>
    <w:rsid w:val="00D10AF4"/>
    <w:rsid w:val="00D1658C"/>
    <w:rsid w:val="00D26D45"/>
    <w:rsid w:val="00D34D4B"/>
    <w:rsid w:val="00D55A17"/>
    <w:rsid w:val="00D57229"/>
    <w:rsid w:val="00D613CD"/>
    <w:rsid w:val="00D67EB9"/>
    <w:rsid w:val="00D8300F"/>
    <w:rsid w:val="00D935F4"/>
    <w:rsid w:val="00DA18B2"/>
    <w:rsid w:val="00DB088F"/>
    <w:rsid w:val="00DB08C8"/>
    <w:rsid w:val="00DB555E"/>
    <w:rsid w:val="00DE4731"/>
    <w:rsid w:val="00DF2AFD"/>
    <w:rsid w:val="00DF2D21"/>
    <w:rsid w:val="00DF6CDF"/>
    <w:rsid w:val="00E07E0A"/>
    <w:rsid w:val="00E1491F"/>
    <w:rsid w:val="00E165E8"/>
    <w:rsid w:val="00E2204F"/>
    <w:rsid w:val="00E261B4"/>
    <w:rsid w:val="00E30D0F"/>
    <w:rsid w:val="00E355EF"/>
    <w:rsid w:val="00E502DD"/>
    <w:rsid w:val="00E60443"/>
    <w:rsid w:val="00E62571"/>
    <w:rsid w:val="00E67961"/>
    <w:rsid w:val="00E71C37"/>
    <w:rsid w:val="00E7363D"/>
    <w:rsid w:val="00E77BA6"/>
    <w:rsid w:val="00E77CEB"/>
    <w:rsid w:val="00E925F1"/>
    <w:rsid w:val="00EA6FD2"/>
    <w:rsid w:val="00EB2D1A"/>
    <w:rsid w:val="00EC494F"/>
    <w:rsid w:val="00EE6342"/>
    <w:rsid w:val="00EF0C57"/>
    <w:rsid w:val="00EF484A"/>
    <w:rsid w:val="00F04525"/>
    <w:rsid w:val="00F30DAE"/>
    <w:rsid w:val="00F3393A"/>
    <w:rsid w:val="00F51951"/>
    <w:rsid w:val="00F6353A"/>
    <w:rsid w:val="00F81FB4"/>
    <w:rsid w:val="00F8435F"/>
    <w:rsid w:val="00F90069"/>
    <w:rsid w:val="00FA00FE"/>
    <w:rsid w:val="00FB0B91"/>
    <w:rsid w:val="00FC0020"/>
    <w:rsid w:val="00FC1491"/>
    <w:rsid w:val="00FC4A63"/>
    <w:rsid w:val="00FD7D14"/>
    <w:rsid w:val="00FE1161"/>
    <w:rsid w:val="00FE4628"/>
    <w:rsid w:val="00FE589B"/>
    <w:rsid w:val="09C24EC5"/>
    <w:rsid w:val="0F4A7C5C"/>
    <w:rsid w:val="1D4715C3"/>
    <w:rsid w:val="3A677D5E"/>
    <w:rsid w:val="584A6720"/>
    <w:rsid w:val="64C66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 w:val="24"/>
    </w:rPr>
  </w:style>
  <w:style w:type="character" w:customStyle="1" w:styleId="17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8">
    <w:name w:val="批注主题 字符"/>
    <w:basedOn w:val="17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769</Words>
  <Characters>4386</Characters>
  <Lines>36</Lines>
  <Paragraphs>10</Paragraphs>
  <TotalTime>1</TotalTime>
  <ScaleCrop>false</ScaleCrop>
  <LinksUpToDate>false</LinksUpToDate>
  <CharactersWithSpaces>5145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丽英</cp:lastModifiedBy>
  <dcterms:modified xsi:type="dcterms:W3CDTF">2022-06-27T22:35:27Z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2052-11.1.0.10314</vt:lpwstr>
  </property>
</Properties>
</file>