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eastAsia="zh-CN"/>
              </w:rPr>
              <w:t>浙江安露与清洗机有限公司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/>
                <w:sz w:val="20"/>
                <w:szCs w:val="22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宋翠琳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网络视频会议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120650</wp:posOffset>
                  </wp:positionV>
                  <wp:extent cx="5210175" cy="2830830"/>
                  <wp:effectExtent l="0" t="0" r="9525" b="127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283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</w:t>
            </w:r>
            <w:r>
              <w:rPr>
                <w:rFonts w:hint="eastAsia"/>
                <w:b/>
                <w:sz w:val="20"/>
                <w:lang w:val="en-US" w:eastAsia="zh-CN"/>
              </w:rPr>
              <w:t>天然气（食堂）、电、水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主要能源绩效参数：综合能耗tce、单位产品综合能耗kgce/台；</w:t>
            </w:r>
            <w:r>
              <w:rPr>
                <w:rFonts w:hint="eastAsia" w:eastAsia="宋体"/>
                <w:b/>
                <w:sz w:val="20"/>
                <w:szCs w:val="22"/>
                <w:lang w:val="en-US" w:eastAsia="zh-CN"/>
              </w:rPr>
              <w:t>单位产值能耗Kgce/万元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《中华人民共和国电力法》、、《中华人民共和国节约能源法》《中华人民共和国可再生能源法》、《国家重点节能技术推广目录（1-6 批）》、《企业节能量计算方法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8》、电力变压器经济运行（GB13462-2008）、综合能耗计算通则GBT2589-2020、 用能单位能源计量器具配备与管理通则（GB/T17167-2006）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de-DE" w:eastAsia="zh-CN" w:bidi="ar-SA"/>
              </w:rPr>
              <w:t xml:space="preserve">RB/T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</w:t>
            </w: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08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-201</w:t>
            </w: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能源管理体系 </w:t>
            </w: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家电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企业认证要求等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专业审核相关的知识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326390</wp:posOffset>
                  </wp:positionV>
                  <wp:extent cx="982345" cy="319405"/>
                  <wp:effectExtent l="0" t="0" r="0" b="10795"/>
                  <wp:wrapSquare wrapText="bothSides"/>
                  <wp:docPr id="4" name="图片 4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FD0D4D"/>
    <w:multiLevelType w:val="singleLevel"/>
    <w:tmpl w:val="9DFD0D4D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EAA36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styleId="3">
    <w:name w:val="List Bullet 5"/>
    <w:basedOn w:val="1"/>
    <w:semiHidden/>
    <w:unhideWhenUsed/>
    <w:uiPriority w:val="99"/>
    <w:pPr>
      <w:numPr>
        <w:ilvl w:val="0"/>
        <w:numId w:val="1"/>
      </w:numPr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2022-06-23T14:18:56Z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