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0789-2022-QEO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河北亚能油田装备制造有限公司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河北亚能油田装备制造有限公司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沧县大褚村乡温洼东村</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hint="eastAsia"/>
                <w:lang w:eastAsia="zh-CN"/>
              </w:rPr>
            </w:pPr>
            <w:r>
              <w:t>沧县大褚村乡温洼东村</w:t>
            </w:r>
            <w:r>
              <w:rPr>
                <w:rFonts w:hint="eastAsia"/>
                <w:lang w:eastAsia="zh-CN"/>
              </w:rPr>
              <w:t>；</w:t>
            </w:r>
          </w:p>
          <w:p>
            <w:pPr>
              <w:rPr>
                <w:rFonts w:hint="eastAsia" w:ascii="Times New Roman" w:hAnsi="Times New Roman" w:eastAsia="宋体" w:cs="Times New Roman"/>
                <w:kern w:val="2"/>
                <w:sz w:val="21"/>
                <w:szCs w:val="24"/>
                <w:lang w:val="en-US" w:eastAsia="zh-CN" w:bidi="ar-SA"/>
              </w:rPr>
            </w:pPr>
            <w:r>
              <w:rPr>
                <w:rFonts w:hint="eastAsia"/>
                <w:color w:val="000000"/>
              </w:rPr>
              <w:t>河北省沧州市新华区黄河东路76号昌盛大厦</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胡宗波</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18631723330</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张宇</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胡宗波</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w:t>
            </w:r>
            <w:r>
              <w:rPr>
                <w:rFonts w:hint="eastAsia"/>
                <w:lang w:eastAsia="zh-CN"/>
              </w:rPr>
              <w:t>□</w:t>
            </w:r>
            <w:r>
              <w:rPr>
                <w:rFonts w:hint="eastAsia"/>
              </w:rPr>
              <w:t>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lang w:val="en-US" w:eastAsia="zh-CN"/>
              </w:rPr>
              <w:t>下料---机加工（车、铣等）---马达装配--试压---整机组装---检验-----包装---入库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b w:val="0"/>
                <w:bCs w:val="0"/>
                <w:sz w:val="21"/>
                <w:szCs w:val="21"/>
              </w:rPr>
              <w:t>2022年06月1</w:t>
            </w:r>
            <w:r>
              <w:rPr>
                <w:b w:val="0"/>
                <w:bCs w:val="0"/>
                <w:sz w:val="21"/>
                <w:szCs w:val="21"/>
              </w:rPr>
              <w:t>4</w:t>
            </w:r>
            <w:r>
              <w:rPr>
                <w:rFonts w:hint="eastAsia"/>
                <w:b w:val="0"/>
                <w:bCs w:val="0"/>
                <w:sz w:val="21"/>
                <w:szCs w:val="21"/>
              </w:rPr>
              <w:t>日 下午至2022年06月1</w:t>
            </w:r>
            <w:r>
              <w:rPr>
                <w:b w:val="0"/>
                <w:bCs w:val="0"/>
                <w:sz w:val="21"/>
                <w:szCs w:val="21"/>
              </w:rPr>
              <w:t>5</w:t>
            </w:r>
            <w:r>
              <w:rPr>
                <w:rFonts w:hint="eastAsia"/>
                <w:b w:val="0"/>
                <w:bCs w:val="0"/>
                <w:sz w:val="21"/>
                <w:szCs w:val="21"/>
              </w:rPr>
              <w:t>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hint="default" w:eastAsia="宋体"/>
                <w:color w:val="000000"/>
                <w:lang w:val="en-US" w:eastAsia="zh-CN"/>
              </w:rPr>
            </w:pPr>
            <w:r>
              <w:rPr>
                <w:rFonts w:hint="eastAsia"/>
                <w:color w:val="000000"/>
                <w:lang w:eastAsia="zh-CN"/>
              </w:rPr>
              <w:t>现场</w:t>
            </w:r>
            <w:r>
              <w:rPr>
                <w:rFonts w:hint="eastAsia"/>
                <w:color w:val="000000"/>
                <w:lang w:val="en-US" w:eastAsia="zh-CN"/>
              </w:rPr>
              <w:t>1（生产场所）：</w:t>
            </w:r>
            <w:r>
              <w:rPr>
                <w:b w:val="0"/>
                <w:bCs w:val="0"/>
                <w:sz w:val="21"/>
                <w:szCs w:val="21"/>
              </w:rPr>
              <w:t>沧县大褚村乡温洼东村</w:t>
            </w:r>
          </w:p>
          <w:p>
            <w:pPr>
              <w:rPr>
                <w:rFonts w:ascii="宋体"/>
                <w:b/>
                <w:color w:val="0000FF"/>
                <w:szCs w:val="21"/>
              </w:rPr>
            </w:pPr>
            <w:r>
              <w:rPr>
                <w:rFonts w:hint="eastAsia"/>
                <w:color w:val="000000"/>
                <w:lang w:eastAsia="zh-CN"/>
              </w:rPr>
              <w:t>现场</w:t>
            </w:r>
            <w:r>
              <w:rPr>
                <w:rFonts w:hint="eastAsia"/>
                <w:color w:val="000000"/>
                <w:lang w:val="en-US" w:eastAsia="zh-CN"/>
              </w:rPr>
              <w:t>2（办公场所）</w:t>
            </w:r>
            <w:r>
              <w:rPr>
                <w:rFonts w:hint="eastAsia"/>
                <w:color w:val="000000"/>
              </w:rPr>
              <w:t>：河北省沧州市新华区黄河东路76号昌盛大厦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0" w:name="审核范围"/>
            <w:r>
              <w:t>Q：钻探螺杆钻具的生产</w:t>
            </w:r>
          </w:p>
          <w:p>
            <w:r>
              <w:t>E：钻探螺杆钻具的生产所涉及场所的相关环境管理活动</w:t>
            </w:r>
          </w:p>
          <w:p>
            <w:r>
              <w:t>O：钻探螺杆钻具的生产所涉及场所的相关职业健康安全管理活动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jc w:val="left"/>
              <w:rPr>
                <w:rFonts w:hint="eastAsia" w:eastAsia="宋体"/>
                <w:sz w:val="20"/>
                <w:lang w:eastAsia="zh-CN"/>
              </w:rPr>
            </w:pPr>
            <w:bookmarkStart w:id="21" w:name="专业代码"/>
            <w:r>
              <w:rPr>
                <w:sz w:val="20"/>
              </w:rPr>
              <w:t>Q：</w:t>
            </w:r>
            <w:r>
              <w:rPr>
                <w:rFonts w:hint="eastAsia"/>
                <w:sz w:val="20"/>
                <w:lang w:eastAsia="zh-CN"/>
              </w:rPr>
              <w:t>18.02.04</w:t>
            </w:r>
          </w:p>
          <w:p>
            <w:pPr>
              <w:jc w:val="left"/>
              <w:rPr>
                <w:rFonts w:hint="eastAsia" w:eastAsia="宋体"/>
                <w:sz w:val="20"/>
                <w:lang w:eastAsia="zh-CN"/>
              </w:rPr>
            </w:pPr>
            <w:r>
              <w:rPr>
                <w:sz w:val="20"/>
              </w:rPr>
              <w:t>E：</w:t>
            </w:r>
            <w:r>
              <w:rPr>
                <w:rFonts w:hint="eastAsia"/>
                <w:sz w:val="20"/>
                <w:lang w:eastAsia="zh-CN"/>
              </w:rPr>
              <w:t>18.02.04</w:t>
            </w:r>
          </w:p>
          <w:p>
            <w:pPr>
              <w:rPr>
                <w:rFonts w:hint="eastAsia" w:eastAsia="宋体"/>
                <w:lang w:eastAsia="zh-CN"/>
              </w:rPr>
            </w:pPr>
            <w:r>
              <w:rPr>
                <w:sz w:val="20"/>
              </w:rPr>
              <w:t>O：</w:t>
            </w:r>
            <w:bookmarkEnd w:id="21"/>
            <w:r>
              <w:rPr>
                <w:rFonts w:hint="eastAsia"/>
                <w:sz w:val="20"/>
                <w:lang w:eastAsia="zh-CN"/>
              </w:rPr>
              <w:t>18.02.04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03"/>
        <w:gridCol w:w="1777"/>
        <w:gridCol w:w="673"/>
        <w:gridCol w:w="2957"/>
        <w:gridCol w:w="176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140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7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7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957"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403" w:type="dxa"/>
            <w:vMerge w:val="restart"/>
          </w:tcPr>
          <w:p>
            <w:pPr>
              <w:spacing w:before="40" w:after="40"/>
              <w:rPr>
                <w:rFonts w:hint="eastAsia" w:eastAsia="黑体"/>
                <w:szCs w:val="21"/>
                <w:lang w:val="de-DE" w:eastAsia="ja-JP"/>
              </w:rPr>
            </w:pPr>
            <w:r>
              <w:rPr>
                <w:rFonts w:hint="eastAsia" w:eastAsia="黑体"/>
                <w:szCs w:val="21"/>
                <w:lang w:val="de-DE" w:eastAsia="ja-JP"/>
              </w:rPr>
              <w:t>河北亚能油田装备制造有限公司</w:t>
            </w:r>
          </w:p>
          <w:p>
            <w:pPr>
              <w:spacing w:before="40" w:after="40"/>
              <w:rPr>
                <w:rFonts w:eastAsia="黑体"/>
                <w:szCs w:val="21"/>
                <w:lang w:val="de-DE" w:eastAsia="ja-JP"/>
              </w:rPr>
            </w:pPr>
            <w:r>
              <w:rPr>
                <w:rFonts w:hint="eastAsia" w:eastAsia="黑体"/>
                <w:szCs w:val="21"/>
                <w:lang w:val="de-DE" w:eastAsia="ja-JP"/>
              </w:rPr>
              <w:t>沧县大褚村乡温洼东村</w:t>
            </w:r>
          </w:p>
        </w:tc>
        <w:tc>
          <w:tcPr>
            <w:tcW w:w="1777" w:type="dxa"/>
          </w:tcPr>
          <w:p>
            <w:pPr>
              <w:spacing w:before="40" w:after="40"/>
              <w:rPr>
                <w:rFonts w:eastAsia="黑体"/>
                <w:szCs w:val="21"/>
                <w:lang w:val="de-DE" w:eastAsia="ja-JP"/>
              </w:rPr>
            </w:pPr>
            <w:r>
              <w:rPr>
                <w:rFonts w:hint="eastAsia"/>
                <w:color w:val="000000"/>
              </w:rPr>
              <w:t>河北省沧州市新华区黄河东路76号昌盛大厦</w:t>
            </w:r>
          </w:p>
        </w:tc>
        <w:tc>
          <w:tcPr>
            <w:tcW w:w="673"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957" w:type="dxa"/>
            <w:vAlign w:val="center"/>
          </w:tcPr>
          <w:p>
            <w:pPr>
              <w:pStyle w:val="21"/>
              <w:rPr>
                <w:rFonts w:eastAsia="黑体" w:cs="Arial"/>
                <w:sz w:val="21"/>
                <w:szCs w:val="21"/>
                <w:lang w:val="en-US" w:eastAsia="ja-JP"/>
              </w:rPr>
            </w:pPr>
            <w:r>
              <w:rPr>
                <w:rFonts w:hint="eastAsia" w:eastAsia="宋体"/>
                <w:b w:val="0"/>
                <w:bCs w:val="0"/>
                <w:sz w:val="21"/>
                <w:szCs w:val="21"/>
                <w:lang w:val="en-US" w:eastAsia="zh-CN"/>
              </w:rPr>
              <w:t>（总部）</w:t>
            </w:r>
            <w:r>
              <w:rPr>
                <w:b w:val="0"/>
                <w:bCs w:val="0"/>
                <w:sz w:val="21"/>
                <w:szCs w:val="21"/>
              </w:rPr>
              <w:t>钻探螺杆钻具的生产</w:t>
            </w:r>
          </w:p>
        </w:tc>
        <w:tc>
          <w:tcPr>
            <w:tcW w:w="1767" w:type="dxa"/>
            <w:vMerge w:val="restart"/>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tc>
          <w:tcPr>
            <w:tcW w:w="668" w:type="dxa"/>
            <w:vMerge w:val="restart"/>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sdt>
            <w:sdtPr>
              <w:rPr>
                <w:rFonts w:eastAsia="黑体"/>
                <w:szCs w:val="21"/>
              </w:rPr>
              <w:id w:val="1360237495"/>
            </w:sdtPr>
            <w:sdtEndPr>
              <w:rPr>
                <w:rFonts w:eastAsia="黑体"/>
                <w:szCs w:val="21"/>
              </w:rPr>
            </w:sdtEndPr>
            <w:sdtContent>
              <w:p>
                <w:pPr>
                  <w:rPr>
                    <w:rFonts w:eastAsia="黑体"/>
                    <w:szCs w:val="21"/>
                  </w:rPr>
                </w:pP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403" w:type="dxa"/>
            <w:vMerge w:val="continue"/>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r>
              <w:rPr>
                <w:rFonts w:hint="eastAsia" w:eastAsia="黑体"/>
                <w:szCs w:val="21"/>
                <w:lang w:val="de-DE" w:eastAsia="ja-JP"/>
              </w:rPr>
              <w:t>沧县大褚村乡温洼东村</w:t>
            </w:r>
          </w:p>
        </w:tc>
        <w:tc>
          <w:tcPr>
            <w:tcW w:w="673"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957" w:type="dxa"/>
            <w:vAlign w:val="center"/>
          </w:tcPr>
          <w:p>
            <w:pPr>
              <w:spacing w:before="40" w:after="40"/>
              <w:rPr>
                <w:rFonts w:hint="default" w:eastAsia="宋体"/>
                <w:szCs w:val="21"/>
                <w:lang w:val="en-US" w:eastAsia="zh-CN"/>
              </w:rPr>
            </w:pPr>
            <w:r>
              <w:rPr>
                <w:rFonts w:hint="eastAsia"/>
                <w:b w:val="0"/>
                <w:bCs w:val="0"/>
                <w:sz w:val="21"/>
                <w:szCs w:val="21"/>
                <w:lang w:eastAsia="zh-CN"/>
              </w:rPr>
              <w:t>（</w:t>
            </w:r>
            <w:r>
              <w:rPr>
                <w:rFonts w:hint="eastAsia"/>
                <w:b w:val="0"/>
                <w:bCs w:val="0"/>
                <w:sz w:val="21"/>
                <w:szCs w:val="21"/>
                <w:lang w:val="en-US" w:eastAsia="zh-CN"/>
              </w:rPr>
              <w:t>生产</w:t>
            </w:r>
            <w:r>
              <w:rPr>
                <w:rFonts w:hint="eastAsia"/>
                <w:b w:val="0"/>
                <w:bCs w:val="0"/>
                <w:sz w:val="21"/>
                <w:szCs w:val="21"/>
                <w:lang w:eastAsia="zh-CN"/>
              </w:rPr>
              <w:t>）</w:t>
            </w:r>
            <w:r>
              <w:rPr>
                <w:b w:val="0"/>
                <w:bCs w:val="0"/>
                <w:sz w:val="21"/>
                <w:szCs w:val="21"/>
              </w:rPr>
              <w:t>钻探螺杆钻具的生产</w:t>
            </w:r>
          </w:p>
        </w:tc>
        <w:tc>
          <w:tcPr>
            <w:tcW w:w="1767" w:type="dxa"/>
            <w:vMerge w:val="continue"/>
            <w:vAlign w:val="center"/>
          </w:tcPr>
          <w:p>
            <w:pPr>
              <w:spacing w:before="40" w:after="40"/>
              <w:rPr>
                <w:rFonts w:eastAsia="黑体"/>
                <w:szCs w:val="21"/>
                <w:lang w:eastAsia="ja-JP"/>
              </w:rPr>
            </w:pPr>
          </w:p>
        </w:tc>
        <w:tc>
          <w:tcPr>
            <w:tcW w:w="668" w:type="dxa"/>
            <w:vMerge w:val="continue"/>
            <w:shd w:val="clear" w:color="auto" w:fill="FFFFFF"/>
          </w:tcPr>
          <w:p>
            <w:pPr>
              <w:rPr>
                <w:rFonts w:eastAsia="黑体"/>
                <w:szCs w:val="21"/>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pP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周文廷</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2022-N1QMS-2244880</w:t>
            </w:r>
          </w:p>
          <w:p>
            <w:pPr>
              <w:rPr>
                <w:rFonts w:ascii="Times New Roman" w:hAnsi="Times New Roman" w:eastAsia="宋体" w:cs="Times New Roman"/>
                <w:kern w:val="2"/>
                <w:sz w:val="21"/>
                <w:szCs w:val="24"/>
                <w:lang w:val="en-US" w:eastAsia="zh-CN" w:bidi="ar-SA"/>
              </w:rPr>
            </w:pPr>
            <w:r>
              <w:t>2021-N1EMS-1244880</w:t>
            </w:r>
          </w:p>
        </w:tc>
        <w:tc>
          <w:tcPr>
            <w:tcW w:w="2179" w:type="dxa"/>
            <w:vAlign w:val="center"/>
          </w:tcPr>
          <w:p>
            <w:r>
              <w:t>Q:18.02.04</w:t>
            </w:r>
          </w:p>
          <w:p>
            <w:pPr>
              <w:rPr>
                <w:rFonts w:hint="eastAsia" w:ascii="Times New Roman" w:hAnsi="Times New Roman" w:eastAsia="宋体" w:cs="Times New Roman"/>
                <w:kern w:val="2"/>
                <w:sz w:val="21"/>
                <w:szCs w:val="24"/>
                <w:lang w:val="en-US" w:eastAsia="zh-CN" w:bidi="ar-SA"/>
              </w:rPr>
            </w:pPr>
            <w:r>
              <w:t>E:18.02.04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2179" w:type="dxa"/>
            <w:vAlign w:val="center"/>
          </w:tcPr>
          <w:p>
            <w:r>
              <w:t>Q:18.02.04</w:t>
            </w:r>
          </w:p>
          <w:p>
            <w:r>
              <w:t>E:18.02.04</w:t>
            </w:r>
          </w:p>
          <w:p>
            <w:pPr>
              <w:rPr>
                <w:rFonts w:ascii="Times New Roman" w:hAnsi="Times New Roman" w:eastAsia="宋体" w:cs="Times New Roman"/>
                <w:kern w:val="2"/>
                <w:sz w:val="21"/>
                <w:szCs w:val="24"/>
                <w:lang w:val="en-US" w:eastAsia="zh-CN" w:bidi="ar-SA"/>
              </w:rPr>
            </w:pPr>
            <w:r>
              <w:t>O:18.02.04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lang w:val="en-US" w:eastAsia="zh-CN"/>
              </w:rPr>
              <w:t>增加了公司总部：</w:t>
            </w:r>
            <w:r>
              <w:rPr>
                <w:rFonts w:hint="eastAsia"/>
                <w:color w:val="000000"/>
              </w:rPr>
              <w:t>河北省沧州市新华区黄河东路76号昌盛大厦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Pr>
        <w:rPr>
          <w:rFonts w:hint="eastAsia"/>
        </w:rPr>
      </w:pPr>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38100</wp:posOffset>
                  </wp:positionH>
                  <wp:positionV relativeFrom="paragraph">
                    <wp:posOffset>211455</wp:posOffset>
                  </wp:positionV>
                  <wp:extent cx="909955" cy="43815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09955" cy="43815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w:t>
            </w:r>
            <w:bookmarkStart w:id="25" w:name="_GoBack"/>
            <w:r>
              <w:rPr>
                <w:rFonts w:hint="eastAsia"/>
                <w:b/>
                <w:bCs/>
              </w:rPr>
              <w:t>外包</w:t>
            </w:r>
            <w:bookmarkEnd w:id="25"/>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抛丸</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cs="Times New Roman"/>
              </w:rPr>
            </w:pPr>
            <w:r>
              <w:rPr>
                <w:rFonts w:hint="eastAsia" w:ascii="Times New Roman" w:hAnsi="Times New Roman" w:cs="Times New Roman"/>
              </w:rPr>
              <w:t>最高管理者制定了文件化的管理体系方针：</w:t>
            </w:r>
          </w:p>
          <w:p>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用心服务质量为先，预防污染保护环境；</w:t>
            </w:r>
          </w:p>
          <w:p>
            <w:pPr>
              <w:shd w:val="clear" w:color="auto" w:fill="C7DAF1" w:themeFill="text2" w:themeFillTint="32"/>
              <w:rPr>
                <w:rFonts w:hint="eastAsia" w:ascii="Times New Roman" w:hAnsi="Times New Roman" w:eastAsia="宋体" w:cs="Times New Roman"/>
                <w:sz w:val="21"/>
                <w:szCs w:val="21"/>
                <w:lang w:val="zh-CN"/>
              </w:rPr>
            </w:pPr>
            <w:r>
              <w:rPr>
                <w:rFonts w:hint="eastAsia" w:ascii="Times New Roman" w:hAnsi="Times New Roman" w:eastAsia="宋体" w:cs="Times New Roman"/>
                <w:sz w:val="24"/>
                <w:szCs w:val="24"/>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rPr>
                <w:rFonts w:hint="eastAsia" w:eastAsia="宋体"/>
                <w:b/>
                <w:bCs/>
                <w:lang w:val="en-US" w:eastAsia="zh-CN"/>
              </w:rPr>
            </w:pPr>
            <w:r>
              <w:rPr>
                <w:rFonts w:hint="eastAsia"/>
              </w:rPr>
              <w:t>QMS的主管部门是——</w:t>
            </w:r>
            <w:r>
              <w:rPr>
                <w:rFonts w:hint="eastAsia"/>
                <w:lang w:val="en-US"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原公司人员配置和岗位设置不合理产品质量不达标；全员参与质量管理制度落实等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对人员和部门进行了调整；公司制定年度培训计划，按照标准要求全员参加质量管理，所有人员上岗前均应进行培训</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316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6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一次交付合格率100%</w:t>
                  </w:r>
                </w:p>
              </w:tc>
              <w:tc>
                <w:tcPr>
                  <w:tcW w:w="3163"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一次合格数量/总生产产品数量*100%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生技部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客户满意率≥95%</w:t>
                  </w:r>
                </w:p>
              </w:tc>
              <w:tc>
                <w:tcPr>
                  <w:tcW w:w="3163"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满意度测试分数/测试总分数*100%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办公室</w:t>
                  </w:r>
                </w:p>
              </w:tc>
              <w:tc>
                <w:tcPr>
                  <w:tcW w:w="1774" w:type="dxa"/>
                  <w:shd w:val="clear" w:color="auto" w:fill="auto"/>
                  <w:vAlign w:val="top"/>
                </w:tcPr>
                <w:p>
                  <w:pP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99</w:t>
                  </w:r>
                  <w:r>
                    <w:rPr>
                      <w:rFonts w:hint="eastAsia" w:ascii="Times New Roman" w:hAnsi="Times New Roman" w:eastAsia="宋体" w:cs="Times New Roman"/>
                      <w:sz w:val="18"/>
                      <w:szCs w:val="18"/>
                      <w:lang w:val="en-US" w:eastAsia="zh-CN"/>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5400+900</w:t>
            </w:r>
            <w:r>
              <w:rPr>
                <w:rFonts w:hint="eastAsia"/>
              </w:rPr>
              <w:t>平方米；生产车间</w:t>
            </w:r>
            <w:r>
              <w:rPr>
                <w:rFonts w:hint="eastAsia"/>
                <w:lang w:val="en-US" w:eastAsia="zh-CN"/>
              </w:rPr>
              <w:t>2</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lang w:eastAsia="zh-CN"/>
              </w:rPr>
              <w:t>数控螺旋铣、德玛吉五轴加工中心、深孔钻镗床、数控管螺纹、数控车床、管螺纹、立式四轴加工中心</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lang w:eastAsia="zh-CN"/>
              </w:rPr>
              <w:t>（</w:t>
            </w:r>
            <w:r>
              <w:rPr>
                <w:rFonts w:hint="eastAsia"/>
                <w:lang w:val="en-US" w:eastAsia="zh-CN"/>
              </w:rPr>
              <w:t>2.8T</w:t>
            </w:r>
            <w:r>
              <w:rPr>
                <w:rFonts w:hint="eastAsia"/>
                <w:lang w:eastAsia="zh-CN"/>
              </w:rPr>
              <w:t>）</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中华人民共和国安全生产法等</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hint="default"/>
                <w:lang w:val="en-US"/>
              </w:rPr>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未提供对产品运输外包方进行评价的证据。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p>
            <w:pPr>
              <w:pStyle w:val="12"/>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default" w:eastAsia="宋体"/>
                      <w:lang w:val="en-US" w:eastAsia="zh-CN"/>
                    </w:rPr>
                  </w:pPr>
                  <w:r>
                    <w:rPr>
                      <w:b w:val="0"/>
                      <w:bCs w:val="0"/>
                      <w:sz w:val="21"/>
                      <w:szCs w:val="21"/>
                    </w:rPr>
                    <w:t>钻探螺杆钻具</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下料</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r>
              <w:rPr>
                <w:rFonts w:hint="eastAsia"/>
                <w:lang w:eastAsia="zh-CN"/>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2022年5月15日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rPr>
                <w:rFonts w:hint="eastAsia"/>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对所有班次的现场操作已审核。</w:t>
            </w:r>
          </w:p>
          <w:p>
            <w:pPr>
              <w:shd w:val="clear" w:color="auto" w:fill="C7DAF1" w:themeFill="text2" w:themeFillTint="32"/>
              <w:rPr>
                <w:rFonts w:hint="eastAsia"/>
              </w:rPr>
            </w:pPr>
            <w:r>
              <w:rPr>
                <w:rFonts w:hint="eastAsia"/>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最高管理者已按策划的时间间隔，在</w:t>
            </w:r>
            <w:r>
              <w:rPr>
                <w:rFonts w:hint="eastAsia"/>
                <w:lang w:val="en-US" w:eastAsia="zh-CN"/>
              </w:rPr>
              <w:t>2022年5月26日</w:t>
            </w:r>
            <w:r>
              <w:rPr>
                <w:rFonts w:hint="eastAsia"/>
              </w:rPr>
              <w:t>对组织的质量管理体系进行了评审，以确保其持续的适宜性、充分性和有效性；管理评审输入、输出均按要求提供。并对提出的改进措施进行了落实。</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抛丸</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rPr>
                <w:rFonts w:hint="eastAsia"/>
              </w:rPr>
            </w:pPr>
            <w:r>
              <w:rPr>
                <w:rFonts w:hint="eastAsia"/>
              </w:rPr>
              <w:t>用心服务质量为先，预防污染保护环境；</w:t>
            </w:r>
          </w:p>
          <w:p>
            <w:pPr>
              <w:rPr>
                <w:rFonts w:hint="eastAsia"/>
              </w:rPr>
            </w:pPr>
            <w:r>
              <w:rPr>
                <w:rFonts w:hint="eastAsia"/>
              </w:rPr>
              <w:t>关爱员工健康安全，持续改进追求卓越。</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43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pPr>
                  <w:r>
                    <w:rPr>
                      <w:rFonts w:hint="eastAsia"/>
                    </w:rPr>
                    <w:t>主要的风险或机遇描述</w:t>
                  </w:r>
                </w:p>
              </w:tc>
              <w:tc>
                <w:tcPr>
                  <w:tcW w:w="43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rPr>
                      <w:rFonts w:hint="default" w:eastAsia="宋体"/>
                      <w:sz w:val="21"/>
                      <w:szCs w:val="21"/>
                      <w:lang w:val="en-US" w:eastAsia="zh-CN"/>
                    </w:rPr>
                  </w:pPr>
                  <w:r>
                    <w:rPr>
                      <w:rFonts w:hint="eastAsia"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设备的</w:t>
                  </w:r>
                  <w:r>
                    <w:rPr>
                      <w:rFonts w:hint="eastAsia" w:ascii="Times New Roman" w:hAnsi="Times New Roman" w:eastAsia="宋体" w:cs="Times New Roman"/>
                      <w:sz w:val="21"/>
                      <w:szCs w:val="21"/>
                      <w:lang w:eastAsia="zh-CN"/>
                    </w:rPr>
                    <w:t>生产</w:t>
                  </w:r>
                  <w:r>
                    <w:rPr>
                      <w:rFonts w:hint="default" w:ascii="Times New Roman" w:hAnsi="Times New Roman" w:eastAsia="宋体" w:cs="Times New Roman"/>
                      <w:sz w:val="21"/>
                      <w:szCs w:val="21"/>
                    </w:rPr>
                    <w:t>、环境保障、安全保障能力（保养、大修状况）</w:t>
                  </w:r>
                </w:p>
              </w:tc>
              <w:tc>
                <w:tcPr>
                  <w:tcW w:w="4397" w:type="dxa"/>
                </w:tcPr>
                <w:p>
                  <w:pPr>
                    <w:rPr>
                      <w:sz w:val="21"/>
                      <w:szCs w:val="21"/>
                    </w:rPr>
                  </w:pPr>
                  <w:r>
                    <w:rPr>
                      <w:rFonts w:hint="default" w:ascii="Times New Roman" w:hAnsi="Times New Roman" w:eastAsia="宋体" w:cs="Times New Roman"/>
                      <w:sz w:val="21"/>
                      <w:szCs w:val="21"/>
                    </w:rPr>
                    <w:t>1严格制定保养、大修制度，制定专人进行设备管理。2制定管理方案3依据国家法律法规要求控制噪声等环境因素</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r>
              <w:rPr>
                <w:rFonts w:hint="eastAsia"/>
                <w:lang w:val="en-US" w:eastAsia="zh-CN"/>
              </w:rPr>
              <w:t>2008年4月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rFonts w:hint="default" w:eastAsia="宋体"/>
                <w:highlight w:val="cyan"/>
                <w:lang w:val="en-US" w:eastAsia="zh-CN"/>
              </w:rPr>
            </w:pP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889"/>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环境目标</w:t>
                  </w:r>
                </w:p>
              </w:tc>
              <w:tc>
                <w:tcPr>
                  <w:tcW w:w="3889"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控制措施</w:t>
                  </w:r>
                </w:p>
              </w:tc>
              <w:tc>
                <w:tcPr>
                  <w:tcW w:w="121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责任部门</w:t>
                  </w:r>
                </w:p>
              </w:tc>
              <w:tc>
                <w:tcPr>
                  <w:tcW w:w="17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固废处理达标排放</w:t>
                  </w:r>
                </w:p>
              </w:tc>
              <w:tc>
                <w:tcPr>
                  <w:tcW w:w="3889" w:type="dxa"/>
                  <w:shd w:val="clear" w:color="auto" w:fill="auto"/>
                  <w:vAlign w:val="center"/>
                </w:tcPr>
                <w:p>
                  <w:pPr>
                    <w:shd w:val="clear" w:color="auto" w:fill="EBF1DE" w:themeFill="accent3" w:themeFillTint="32"/>
                    <w:rPr>
                      <w:sz w:val="21"/>
                      <w:szCs w:val="21"/>
                      <w:lang w:val="en-GB"/>
                    </w:rPr>
                  </w:pPr>
                  <w:r>
                    <w:rPr>
                      <w:rFonts w:hint="default" w:ascii="Times New Roman" w:hAnsi="Times New Roman" w:eastAsia="宋体" w:cs="Times New Roman"/>
                      <w:sz w:val="21"/>
                      <w:szCs w:val="21"/>
                    </w:rPr>
                    <w:t>划分区域分别放置生产下脚料、</w:t>
                  </w:r>
                  <w:r>
                    <w:rPr>
                      <w:rFonts w:hint="default" w:ascii="Times New Roman" w:hAnsi="Times New Roman" w:eastAsia="宋体" w:cs="Times New Roman"/>
                      <w:sz w:val="21"/>
                      <w:szCs w:val="21"/>
                      <w:lang w:eastAsia="zh-CN"/>
                    </w:rPr>
                    <w:t>包装袋</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，办公室设置垃圾桶等分类处置地点</w:t>
                  </w:r>
                </w:p>
              </w:tc>
              <w:tc>
                <w:tcPr>
                  <w:tcW w:w="1214" w:type="dxa"/>
                  <w:shd w:val="clear" w:color="auto" w:fill="auto"/>
                  <w:vAlign w:val="center"/>
                </w:tcPr>
                <w:p>
                  <w:pPr>
                    <w:shd w:val="clear" w:color="auto" w:fill="EBF1DE" w:themeFill="accent3" w:themeFillTint="32"/>
                    <w:rPr>
                      <w:rFonts w:hint="eastAsia" w:eastAsia="宋体"/>
                      <w:sz w:val="21"/>
                      <w:szCs w:val="21"/>
                      <w:lang w:val="en-US" w:eastAsia="zh-CN"/>
                    </w:rPr>
                  </w:pPr>
                  <w:r>
                    <w:rPr>
                      <w:rFonts w:hint="eastAsia"/>
                      <w:sz w:val="21"/>
                      <w:szCs w:val="21"/>
                      <w:lang w:val="en-US" w:eastAsia="zh-CN"/>
                    </w:rPr>
                    <w:t>办公室</w:t>
                  </w:r>
                </w:p>
              </w:tc>
              <w:tc>
                <w:tcPr>
                  <w:tcW w:w="1774" w:type="dxa"/>
                  <w:shd w:val="clear" w:color="auto" w:fill="auto"/>
                  <w:vAlign w:val="center"/>
                </w:tcPr>
                <w:p>
                  <w:pPr>
                    <w:shd w:val="clear" w:color="auto" w:fill="EBF1DE" w:themeFill="accent3" w:themeFillTint="32"/>
                    <w:jc w:val="center"/>
                    <w:rPr>
                      <w:rFonts w:hint="default" w:ascii="宋体" w:hAnsi="宋体" w:eastAsia="宋体"/>
                      <w:sz w:val="21"/>
                      <w:szCs w:val="21"/>
                      <w:lang w:val="en-US" w:eastAsia="zh-CN"/>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噪声达标排放</w:t>
                  </w:r>
                </w:p>
              </w:tc>
              <w:tc>
                <w:tcPr>
                  <w:tcW w:w="3889" w:type="dxa"/>
                  <w:shd w:val="clear" w:color="auto" w:fill="auto"/>
                  <w:vAlign w:val="center"/>
                </w:tcPr>
                <w:p>
                  <w:pPr>
                    <w:shd w:val="clear" w:color="auto" w:fill="EBF1DE" w:themeFill="accent3" w:themeFillTint="3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封闭式生产设备</w:t>
                  </w:r>
                  <w:r>
                    <w:rPr>
                      <w:rFonts w:hint="eastAsia" w:ascii="Times New Roman" w:hAnsi="Times New Roman" w:cs="Times New Roman"/>
                      <w:sz w:val="21"/>
                      <w:szCs w:val="21"/>
                      <w:lang w:eastAsia="zh-CN"/>
                    </w:rPr>
                    <w:t>，</w:t>
                  </w:r>
                  <w:r>
                    <w:rPr>
                      <w:rFonts w:hint="default" w:ascii="Times New Roman" w:hAnsi="Times New Roman" w:eastAsia="宋体" w:cs="Times New Roman"/>
                      <w:kern w:val="0"/>
                      <w:sz w:val="21"/>
                      <w:szCs w:val="21"/>
                    </w:rPr>
                    <w:t>对设备进行全面检修，确保性能良好，减少震动和噪音</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lang w:val="en-US" w:eastAsia="zh-CN"/>
                    </w:rPr>
                    <w:t>维护环保设施</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生技部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火灾事故发生率为0</w:t>
                  </w:r>
                </w:p>
              </w:tc>
              <w:tc>
                <w:tcPr>
                  <w:tcW w:w="3889" w:type="dxa"/>
                  <w:shd w:val="clear" w:color="auto" w:fill="auto"/>
                  <w:vAlign w:val="center"/>
                </w:tcPr>
                <w:p>
                  <w:pPr>
                    <w:shd w:val="clear" w:color="auto" w:fill="EBF1DE" w:themeFill="accent3" w:themeFillTint="32"/>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消防设备按照位置明显，易于使用。在特殊地区严禁烟火和张贴防火标示</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定期对安防设备进行检测和演练。</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生技部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w:t>
            </w:r>
            <w:r>
              <w:rPr>
                <w:rFonts w:hint="eastAsia"/>
                <w:lang w:val="en-US" w:eastAsia="zh-CN"/>
              </w:rPr>
              <w:t>5400+900</w:t>
            </w:r>
            <w:r>
              <w:rPr>
                <w:rFonts w:hint="eastAsia"/>
              </w:rPr>
              <w:t>平方米；生产车间</w:t>
            </w:r>
            <w:r>
              <w:rPr>
                <w:rFonts w:hint="eastAsia"/>
                <w:lang w:val="en-US" w:eastAsia="zh-CN"/>
              </w:rPr>
              <w:t>2</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val="en-US" w:eastAsia="zh-CN"/>
              </w:rPr>
            </w:pPr>
            <w:r>
              <w:rPr>
                <w:rFonts w:hint="eastAsia"/>
              </w:rPr>
              <w:t>主要设备有：</w:t>
            </w:r>
            <w:r>
              <w:rPr>
                <w:rFonts w:hint="eastAsia" w:ascii="楷体" w:hAnsi="楷体" w:eastAsia="楷体"/>
                <w:color w:val="000000"/>
                <w:szCs w:val="21"/>
                <w:u w:val="none"/>
                <w:lang w:eastAsia="zh-CN"/>
              </w:rPr>
              <w:t>数控螺旋铣、德玛吉五轴加工中心、深孔钻镗床、数控管螺纹、数控车床、管螺纹、立式四轴加工中心</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lang w:val="en-US" w:eastAsia="zh-CN"/>
              </w:rPr>
              <w:t>基础减震、</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lang w:eastAsia="zh-CN"/>
              </w:rPr>
              <w:t>（</w:t>
            </w:r>
            <w:r>
              <w:rPr>
                <w:rFonts w:hint="eastAsia"/>
                <w:lang w:val="en-US" w:eastAsia="zh-CN"/>
              </w:rPr>
              <w:t>2.8T</w:t>
            </w:r>
            <w:r>
              <w:rPr>
                <w:rFonts w:hint="eastAsia"/>
                <w:lang w:eastAsia="zh-CN"/>
              </w:rPr>
              <w:t>）</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 xml:space="preserve"> </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lang w:val="en-US"/>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中华人民共和国噪声污染防治法等</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接收准则</w:t>
            </w:r>
            <w:r>
              <w:rPr>
                <w:rFonts w:hint="eastAsia"/>
                <w:lang w:eastAsia="zh-CN"/>
              </w:rPr>
              <w:t>☑</w:t>
            </w:r>
            <w:r>
              <w:rPr>
                <w:rFonts w:hint="eastAsia"/>
              </w:rPr>
              <w:t>外包控制要求</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未对产品运输外包方施加环境影响。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lang w:val="en-US" w:eastAsia="zh-CN"/>
                    </w:rPr>
                  </w:pPr>
                  <w:r>
                    <w:rPr>
                      <w:rFonts w:hint="eastAsia"/>
                      <w:lang w:val="en-US" w:eastAsia="zh-CN"/>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对设备进行维护保养，</w:t>
                  </w: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w:t>
            </w:r>
            <w:r>
              <w:rPr>
                <w:rFonts w:hint="eastAsia"/>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环保设备故障</w:t>
            </w:r>
            <w:r>
              <w:rPr>
                <w:rFonts w:hint="eastAsia"/>
                <w:lang w:eastAsia="zh-CN"/>
              </w:rPr>
              <w:t>□</w:t>
            </w:r>
            <w:r>
              <w:rPr>
                <w:rFonts w:hint="eastAsia"/>
              </w:rPr>
              <w:t>停水停电</w:t>
            </w:r>
            <w:r>
              <w:rPr>
                <w:rFonts w:hint="eastAsia"/>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default" w:eastAsia="宋体"/>
                <w:lang w:val="en-US" w:eastAsia="zh-CN"/>
              </w:rPr>
            </w:pPr>
            <w:r>
              <w:rPr>
                <w:rFonts w:hint="eastAsia"/>
              </w:rPr>
              <w:t>《环境</w:t>
            </w:r>
            <w:r>
              <w:rPr>
                <w:rFonts w:hint="eastAsia"/>
                <w:lang w:val="en-US" w:eastAsia="zh-CN"/>
              </w:rPr>
              <w:t>检测</w:t>
            </w:r>
            <w:r>
              <w:rPr>
                <w:rFonts w:hint="eastAsia"/>
              </w:rPr>
              <w:t>报告》编号：</w:t>
            </w:r>
            <w:r>
              <w:rPr>
                <w:rFonts w:hint="eastAsia"/>
                <w:lang w:val="en-US" w:eastAsia="zh-CN"/>
              </w:rPr>
              <w:t>ZHXJ2022041602</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2022年5月15日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ascii="Times New Roman" w:hAnsi="Times New Roman" w:eastAsia="宋体" w:cs="Times New Roman"/>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若是多班次操作：（按照组织的实际情况选择）</w:t>
            </w:r>
          </w:p>
          <w:p>
            <w:pPr>
              <w:shd w:val="clear" w:color="auto" w:fill="EBF1DE" w:themeFill="accent3" w:themeFillTint="32"/>
              <w:rPr>
                <w:rFonts w:hint="eastAsia" w:ascii="Times New Roman" w:hAnsi="Times New Roman" w:eastAsia="宋体" w:cs="Times New Roman"/>
              </w:rPr>
            </w:pPr>
            <w:r>
              <w:rPr>
                <w:rFonts w:hint="eastAsia" w:cs="Times New Roman"/>
                <w:lang w:eastAsia="zh-CN"/>
              </w:rPr>
              <w:t>□</w:t>
            </w:r>
            <w:r>
              <w:rPr>
                <w:rFonts w:hint="eastAsia" w:ascii="Times New Roman" w:hAnsi="Times New Roman" w:eastAsia="宋体" w:cs="Times New Roman"/>
              </w:rPr>
              <w:t>对所有班次的现场操作已审核。</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2022年5月26日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pStyle w:val="2"/>
        <w:ind w:left="0" w:leftChars="0" w:firstLine="0" w:firstLineChars="0"/>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抛丸</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用心服务质量为先，预防污染保护环境；</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关爱员工健康安全，持续改进追求卓越</w:t>
            </w:r>
            <w:r>
              <w:rPr>
                <w:rFonts w:hint="eastAsia" w:cs="Times New Roman"/>
                <w:sz w:val="24"/>
                <w:szCs w:val="24"/>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cs="Times New Roman"/>
                <w:b/>
                <w:bCs/>
                <w:sz w:val="22"/>
                <w:szCs w:val="28"/>
                <w:lang w:val="en-US" w:eastAsia="zh-CN"/>
              </w:rPr>
              <w:t>张伟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44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r>
                    <w:rPr>
                      <w:rFonts w:hint="eastAsia"/>
                    </w:rPr>
                    <w:t>主要的风险或机遇描述</w:t>
                  </w:r>
                </w:p>
              </w:tc>
              <w:tc>
                <w:tcPr>
                  <w:tcW w:w="44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406" w:type="dxa"/>
                </w:tcPr>
                <w:p>
                  <w:pPr>
                    <w:rPr>
                      <w:sz w:val="18"/>
                      <w:szCs w:val="18"/>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lang w:val="en-US" w:eastAsia="zh-CN"/>
              </w:rPr>
              <w:t>废气</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beforeLines="0" w:afterLines="0" w:line="360" w:lineRule="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重大安全事故为0</w:t>
                  </w:r>
                </w:p>
                <w:p>
                  <w:pPr>
                    <w:tabs>
                      <w:tab w:val="left" w:pos="1800"/>
                    </w:tabs>
                    <w:spacing w:beforeLines="0" w:afterLines="0" w:line="360" w:lineRule="auto"/>
                    <w:rPr>
                      <w:rFonts w:hint="eastAsia" w:ascii="宋体" w:hAnsi="宋体" w:eastAsia="宋体" w:cs="宋体"/>
                      <w:kern w:val="2"/>
                      <w:sz w:val="24"/>
                      <w:szCs w:val="24"/>
                      <w:lang w:val="en-US" w:eastAsia="zh-CN" w:bidi="ar-SA"/>
                    </w:rPr>
                  </w:pPr>
                  <w:r>
                    <w:rPr>
                      <w:rFonts w:hint="eastAsia" w:ascii="Times New Roman" w:hAnsi="Times New Roman" w:cs="Times New Roman"/>
                      <w:sz w:val="18"/>
                      <w:szCs w:val="18"/>
                      <w:lang w:val="en-US" w:eastAsia="zh-CN"/>
                    </w:rPr>
                    <w:t>火灾事故发生率为0</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生技部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5400+900</w:t>
            </w:r>
            <w:r>
              <w:rPr>
                <w:rFonts w:hint="eastAsia"/>
              </w:rPr>
              <w:t>平方米；生产车间</w:t>
            </w:r>
            <w:r>
              <w:rPr>
                <w:rFonts w:hint="eastAsia"/>
                <w:lang w:val="en-US" w:eastAsia="zh-CN"/>
              </w:rPr>
              <w:t>2</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eastAsia" w:ascii="楷体" w:hAnsi="楷体" w:eastAsia="楷体"/>
                <w:color w:val="000000"/>
                <w:szCs w:val="21"/>
                <w:u w:val="none"/>
                <w:lang w:eastAsia="zh-CN"/>
              </w:rPr>
            </w:pPr>
            <w:r>
              <w:rPr>
                <w:rFonts w:hint="eastAsia"/>
              </w:rPr>
              <w:t>主要设备有：</w:t>
            </w:r>
            <w:r>
              <w:rPr>
                <w:rFonts w:hint="eastAsia" w:ascii="楷体" w:hAnsi="楷体" w:eastAsia="楷体"/>
                <w:color w:val="000000"/>
                <w:szCs w:val="21"/>
                <w:u w:val="none"/>
                <w:lang w:eastAsia="zh-CN"/>
              </w:rPr>
              <w:t>数控螺旋铣、德玛吉五轴加工中心、深孔钻镗床、数控管螺纹、数控车床、管螺纹、立式四轴加工中心</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lang w:eastAsia="zh-CN"/>
              </w:rPr>
              <w:t>（</w:t>
            </w:r>
            <w:r>
              <w:rPr>
                <w:rFonts w:hint="eastAsia"/>
                <w:lang w:val="en-US" w:eastAsia="zh-CN"/>
              </w:rPr>
              <w:t>2.8T</w:t>
            </w:r>
            <w:r>
              <w:rPr>
                <w:rFonts w:hint="eastAsia"/>
                <w:lang w:eastAsia="zh-CN"/>
              </w:rPr>
              <w:t>）</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消防法、传染病防治法等</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未对产品运输外包方施加影响。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安全装置检查：</w:t>
            </w:r>
            <w:r>
              <w:rPr>
                <w:rFonts w:hint="eastAsia"/>
                <w:lang w:eastAsia="zh-CN"/>
              </w:rPr>
              <w:t>☑</w:t>
            </w:r>
            <w:r>
              <w:rPr>
                <w:rFonts w:hint="eastAsia"/>
              </w:rPr>
              <w:t>进行了定期检查</w:t>
            </w:r>
            <w:r>
              <w:rPr>
                <w:rFonts w:hint="eastAsia"/>
                <w:lang w:eastAsia="zh-CN"/>
              </w:rPr>
              <w:t>□</w:t>
            </w:r>
            <w:r>
              <w:rPr>
                <w:rFonts w:hint="eastAsia"/>
              </w:rPr>
              <w:t>未进行定期检查的有：</w:t>
            </w:r>
          </w:p>
          <w:p>
            <w:r>
              <w:rPr>
                <w:rFonts w:hint="eastAsia"/>
              </w:rPr>
              <w:t>特种设备管理：</w:t>
            </w:r>
            <w:r>
              <w:rPr>
                <w:rFonts w:hint="eastAsia"/>
                <w:lang w:eastAsia="zh-CN"/>
              </w:rPr>
              <w:t>□</w:t>
            </w:r>
            <w:r>
              <w:rPr>
                <w:rFonts w:hint="eastAsia"/>
              </w:rPr>
              <w:t>进行了定期检验</w:t>
            </w:r>
            <w:r>
              <w:rPr>
                <w:rFonts w:hint="eastAsia"/>
                <w:lang w:eastAsia="zh-CN"/>
              </w:rPr>
              <w:t>□</w:t>
            </w:r>
            <w:r>
              <w:rPr>
                <w:rFonts w:hint="eastAsia"/>
              </w:rPr>
              <w:t>未进行定期检验的有：</w:t>
            </w:r>
          </w:p>
          <w:p>
            <w:pPr>
              <w:rPr>
                <w:rFonts w:hint="eastAsia"/>
              </w:rPr>
            </w:pPr>
            <w:r>
              <w:rPr>
                <w:rFonts w:hint="eastAsia"/>
              </w:rPr>
              <w:t>特种设备检测报告，如：</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22</w:t>
            </w:r>
            <w:r>
              <w:rPr>
                <w:rFonts w:hint="eastAsia"/>
              </w:rPr>
              <w:t>日进行了</w:t>
            </w:r>
            <w:r>
              <w:rPr>
                <w:rFonts w:hint="eastAsia"/>
                <w:lang w:val="en-US" w:eastAsia="zh-CN"/>
              </w:rPr>
              <w:t>机械伤害事故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pPr>
              <w:rPr>
                <w:rFonts w:hint="default"/>
                <w:lang w:val="en-US"/>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2022年5月15日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rPr>
                <w:rFonts w:hint="eastAsia"/>
              </w:rPr>
            </w:pPr>
            <w:r>
              <w:rPr>
                <w:rFonts w:hint="eastAsia"/>
              </w:rPr>
              <w:t>若是组织多场所/临时场所：（按照组织的实际情况选择）</w:t>
            </w:r>
          </w:p>
          <w:p>
            <w:pPr>
              <w:rPr>
                <w:rFonts w:hint="eastAsia"/>
              </w:rPr>
            </w:pPr>
            <w:r>
              <w:rPr>
                <w:rFonts w:hint="eastAsia"/>
                <w:lang w:eastAsia="zh-CN"/>
              </w:rPr>
              <w:t>☑</w:t>
            </w:r>
            <w:r>
              <w:rPr>
                <w:rFonts w:hint="eastAsia"/>
              </w:rPr>
              <w:t>内审贯穿了多场所/临时现场，内审的验证结论是正面的。管理者代表相应的职权覆盖了所有的场所。）</w:t>
            </w:r>
          </w:p>
          <w:p>
            <w:pPr>
              <w:rPr>
                <w:rFonts w:hint="eastAsia"/>
              </w:rPr>
            </w:pPr>
            <w:r>
              <w:rPr>
                <w:rFonts w:hint="eastAsia"/>
              </w:rPr>
              <w:t>若是多班次操作：（按照组织的实际情况选择）</w:t>
            </w:r>
          </w:p>
          <w:p>
            <w:pPr>
              <w:rPr>
                <w:rFonts w:hint="eastAsia"/>
              </w:rPr>
            </w:pPr>
            <w:r>
              <w:rPr>
                <w:rFonts w:hint="eastAsia"/>
                <w:lang w:eastAsia="zh-CN"/>
              </w:rPr>
              <w:t>□</w:t>
            </w:r>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2022年5月26日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D12306C"/>
    <w:rsid w:val="14ED3819"/>
    <w:rsid w:val="1AF108CC"/>
    <w:rsid w:val="1B975041"/>
    <w:rsid w:val="3550415A"/>
    <w:rsid w:val="36640D65"/>
    <w:rsid w:val="3BD91434"/>
    <w:rsid w:val="3D31389A"/>
    <w:rsid w:val="5BB5629B"/>
    <w:rsid w:val="5EC96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19640</Words>
  <Characters>20615</Characters>
  <Lines>150</Lines>
  <Paragraphs>42</Paragraphs>
  <TotalTime>3</TotalTime>
  <ScaleCrop>false</ScaleCrop>
  <LinksUpToDate>false</LinksUpToDate>
  <CharactersWithSpaces>20736</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2022-06-15T05:56:56Z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2052-11.1.0.11753</vt:lpwstr>
  </property>
  <property fmtid="{D5CDD505-2E9C-101B-9397-08002B2CF9AE}" pid="4" name="commondata">
    <vt:lpwstr>eyJoZGlkIjoiM2Y3MmNiNTA4Y2RiYTNkMzhmODU1Yjg5OTYxMzY5NzMifQ==</vt:lpwstr>
  </property>
</Properties>
</file>