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0784-2022-EnMS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浙江安露清洗机有限公司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2022年06月10日 下午至2022年06月12日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河北省石家庄市/浙江省杭州市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王贝</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ISC-JSZJ-539</w:t>
            </w:r>
          </w:p>
          <w:p>
            <w:pPr>
              <w:spacing w:line="240" w:lineRule="exact"/>
              <w:jc w:val="center"/>
              <w:rPr>
                <w:b/>
                <w:color w:val="000000"/>
                <w:szCs w:val="21"/>
              </w:rPr>
            </w:pPr>
            <w:r>
              <w:rPr>
                <w:b/>
                <w:color w:val="000000"/>
                <w:szCs w:val="21"/>
              </w:rPr>
              <w:t>浙江欧森机械有限公司</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浙江安露清洗机有限公司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台州市路桥区金清镇金清大道西899号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318050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台州市路桥区金清镇金清大道西899号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318050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周必思</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13676668042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陈吉明</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周必思</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Times New Roman" w:hAnsi="Times New Roman" w:eastAsia="宋体" w:cs="Times New Roman"/>
                <w:color w:val="000000"/>
                <w:szCs w:val="21"/>
              </w:rPr>
              <w:t>清洗机、8.2KW及以下通用汽油机和发电机、排气压力≤0.8MPa直联便携式空气压缩机、排气压力≤1.0MPa微型复式空气压缩机</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color w:val="000000"/>
                <w:szCs w:val="22"/>
                <w:lang w:val="en-US" w:eastAsia="zh-CN"/>
              </w:rPr>
              <w:t>原材</w:t>
            </w:r>
            <w:r>
              <w:rPr>
                <w:rFonts w:hint="eastAsia" w:ascii="Times New Roman" w:hAnsi="Times New Roman" w:eastAsia="宋体" w:cs="Times New Roman"/>
                <w:color w:val="000000"/>
                <w:szCs w:val="22"/>
                <w:highlight w:val="none"/>
                <w:lang w:val="en-US" w:eastAsia="zh-CN"/>
              </w:rPr>
              <w:t>料检验→下料→机加工→组装→总装→检验</w:t>
            </w:r>
            <w:r>
              <w:rPr>
                <w:rFonts w:hint="eastAsia" w:ascii="Times New Roman" w:hAnsi="Times New Roman" w:eastAsia="宋体" w:cs="Times New Roman"/>
                <w:color w:val="000000"/>
                <w:szCs w:val="22"/>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hint="eastAsia" w:ascii="宋体" w:hAnsi="宋体"/>
                <w:b/>
                <w:sz w:val="21"/>
                <w:szCs w:val="21"/>
              </w:rPr>
              <w:t>清洗机、8.2KW及以下通用汽油机和发电机、排气压力≤0.8MPa直联便携式空气压缩机、排气压力≤1.0MPa微型复式空气压缩机的生产所涉及的能源管理活动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三班三倒</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2"/>
        <w:gridCol w:w="1619"/>
        <w:gridCol w:w="545"/>
        <w:gridCol w:w="2736"/>
        <w:gridCol w:w="17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4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3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62" w:type="dxa"/>
          </w:tcPr>
          <w:p>
            <w:pPr>
              <w:spacing w:before="40" w:after="40"/>
              <w:rPr>
                <w:rFonts w:hint="eastAsia" w:eastAsia="宋体"/>
                <w:szCs w:val="21"/>
                <w:lang w:val="en-US" w:eastAsia="zh-CN"/>
              </w:rPr>
            </w:pPr>
            <w:r>
              <w:rPr>
                <w:sz w:val="21"/>
                <w:szCs w:val="21"/>
              </w:rPr>
              <w:t>浙江安露清洗机有限公司</w:t>
            </w:r>
            <w:r>
              <w:rPr>
                <w:rFonts w:hint="eastAsia"/>
                <w:sz w:val="21"/>
                <w:szCs w:val="21"/>
                <w:lang w:val="en-US" w:eastAsia="zh-CN"/>
              </w:rPr>
              <w:t>/</w:t>
            </w:r>
            <w:r>
              <w:rPr>
                <w:sz w:val="21"/>
                <w:szCs w:val="21"/>
              </w:rPr>
              <w:t>台州市路桥区金清镇金清大道西899号</w:t>
            </w:r>
          </w:p>
        </w:tc>
        <w:tc>
          <w:tcPr>
            <w:tcW w:w="1619" w:type="dxa"/>
          </w:tcPr>
          <w:p>
            <w:pPr>
              <w:spacing w:before="40" w:after="40"/>
              <w:rPr>
                <w:rFonts w:eastAsia="黑体"/>
                <w:szCs w:val="21"/>
                <w:lang w:val="de-DE" w:eastAsia="ja-JP"/>
              </w:rPr>
            </w:pPr>
            <w:r>
              <w:rPr>
                <w:sz w:val="21"/>
                <w:szCs w:val="21"/>
              </w:rPr>
              <w:t>台州市路桥区金清镇金清大道西899号</w:t>
            </w:r>
          </w:p>
        </w:tc>
        <w:tc>
          <w:tcPr>
            <w:tcW w:w="545" w:type="dxa"/>
            <w:vAlign w:val="center"/>
          </w:tcPr>
          <w:p>
            <w:pPr>
              <w:spacing w:before="40" w:after="40"/>
              <w:rPr>
                <w:rFonts w:hint="default" w:eastAsia="黑体"/>
                <w:szCs w:val="21"/>
                <w:lang w:val="en-US" w:eastAsia="zh-CN"/>
              </w:rPr>
            </w:pPr>
            <w:r>
              <w:rPr>
                <w:rFonts w:hint="eastAsia" w:eastAsia="黑体"/>
                <w:szCs w:val="21"/>
                <w:lang w:val="en-US" w:eastAsia="zh-CN"/>
              </w:rPr>
              <w:t>175</w:t>
            </w:r>
          </w:p>
        </w:tc>
        <w:tc>
          <w:tcPr>
            <w:tcW w:w="2736" w:type="dxa"/>
            <w:vAlign w:val="center"/>
          </w:tcPr>
          <w:p>
            <w:pPr>
              <w:pStyle w:val="19"/>
              <w:rPr>
                <w:rFonts w:eastAsia="黑体" w:cs="Arial"/>
                <w:sz w:val="21"/>
                <w:szCs w:val="21"/>
                <w:lang w:val="en-US" w:eastAsia="ja-JP"/>
              </w:rPr>
            </w:pPr>
            <w:r>
              <w:rPr>
                <w:rFonts w:hint="eastAsia" w:ascii="Times New Roman" w:hAnsi="Times New Roman" w:eastAsia="宋体" w:cs="Times New Roman"/>
                <w:kern w:val="2"/>
                <w:sz w:val="21"/>
                <w:szCs w:val="21"/>
                <w:lang w:val="en-US" w:eastAsia="zh-CN" w:bidi="ar-SA"/>
              </w:rPr>
              <w:t>清洗机、8.2KW及以下通用汽油机和发电机、排气压力≤0.8MPa直联便携式空气压缩机、排气压力≤1.0MPa微型复式空气压缩机的生产所涉及的能源管理活动</w:t>
            </w:r>
          </w:p>
        </w:tc>
        <w:tc>
          <w:tcPr>
            <w:tcW w:w="1715"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62" w:type="dxa"/>
            <w:vAlign w:val="center"/>
          </w:tcPr>
          <w:p>
            <w:pPr>
              <w:spacing w:before="40" w:after="40"/>
              <w:rPr>
                <w:rFonts w:eastAsia="黑体"/>
                <w:szCs w:val="21"/>
                <w:lang w:eastAsia="ja-JP"/>
              </w:rPr>
            </w:pPr>
          </w:p>
        </w:tc>
        <w:tc>
          <w:tcPr>
            <w:tcW w:w="1619" w:type="dxa"/>
            <w:vAlign w:val="center"/>
          </w:tcPr>
          <w:p>
            <w:pPr>
              <w:spacing w:before="40" w:after="40"/>
              <w:rPr>
                <w:rFonts w:eastAsia="黑体"/>
                <w:szCs w:val="21"/>
                <w:lang w:eastAsia="ja-JP"/>
              </w:rPr>
            </w:pPr>
          </w:p>
        </w:tc>
        <w:tc>
          <w:tcPr>
            <w:tcW w:w="545" w:type="dxa"/>
            <w:vAlign w:val="center"/>
          </w:tcPr>
          <w:p>
            <w:pPr>
              <w:spacing w:before="40" w:after="40"/>
              <w:rPr>
                <w:rFonts w:eastAsia="黑体"/>
                <w:szCs w:val="21"/>
                <w:lang w:eastAsia="ja-JP"/>
              </w:rPr>
            </w:pPr>
          </w:p>
        </w:tc>
        <w:tc>
          <w:tcPr>
            <w:tcW w:w="2736" w:type="dxa"/>
            <w:vAlign w:val="center"/>
          </w:tcPr>
          <w:p>
            <w:pPr>
              <w:spacing w:before="40" w:after="40"/>
              <w:rPr>
                <w:rFonts w:eastAsia="黑体"/>
                <w:szCs w:val="21"/>
                <w:lang w:eastAsia="ja-JP"/>
              </w:rPr>
            </w:pPr>
          </w:p>
        </w:tc>
        <w:tc>
          <w:tcPr>
            <w:tcW w:w="1715"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962" w:type="dxa"/>
            <w:vAlign w:val="center"/>
          </w:tcPr>
          <w:p>
            <w:pPr>
              <w:spacing w:before="40" w:after="40"/>
              <w:rPr>
                <w:rFonts w:eastAsia="黑体"/>
                <w:szCs w:val="21"/>
                <w:lang w:eastAsia="ja-JP"/>
              </w:rPr>
            </w:pPr>
          </w:p>
        </w:tc>
        <w:tc>
          <w:tcPr>
            <w:tcW w:w="1619" w:type="dxa"/>
            <w:vAlign w:val="center"/>
          </w:tcPr>
          <w:p>
            <w:pPr>
              <w:spacing w:before="40" w:after="40"/>
              <w:rPr>
                <w:rFonts w:eastAsia="黑体"/>
                <w:szCs w:val="21"/>
                <w:lang w:eastAsia="ja-JP"/>
              </w:rPr>
            </w:pPr>
          </w:p>
        </w:tc>
        <w:tc>
          <w:tcPr>
            <w:tcW w:w="545" w:type="dxa"/>
            <w:vAlign w:val="center"/>
          </w:tcPr>
          <w:p>
            <w:pPr>
              <w:spacing w:before="40" w:after="40"/>
              <w:rPr>
                <w:rFonts w:eastAsia="黑体"/>
                <w:szCs w:val="21"/>
                <w:lang w:eastAsia="ja-JP"/>
              </w:rPr>
            </w:pPr>
          </w:p>
        </w:tc>
        <w:tc>
          <w:tcPr>
            <w:tcW w:w="2736" w:type="dxa"/>
            <w:vAlign w:val="center"/>
          </w:tcPr>
          <w:p>
            <w:pPr>
              <w:spacing w:before="40" w:after="40"/>
              <w:rPr>
                <w:rFonts w:eastAsia="黑体"/>
                <w:szCs w:val="21"/>
                <w:lang w:eastAsia="ja-JP"/>
              </w:rPr>
            </w:pPr>
          </w:p>
        </w:tc>
        <w:tc>
          <w:tcPr>
            <w:tcW w:w="1715"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962" w:type="dxa"/>
            <w:vAlign w:val="center"/>
          </w:tcPr>
          <w:p>
            <w:pPr>
              <w:spacing w:before="40" w:after="40"/>
              <w:rPr>
                <w:rFonts w:eastAsia="黑体"/>
                <w:szCs w:val="21"/>
                <w:lang w:eastAsia="ja-JP"/>
              </w:rPr>
            </w:pPr>
          </w:p>
        </w:tc>
        <w:tc>
          <w:tcPr>
            <w:tcW w:w="1619" w:type="dxa"/>
            <w:vAlign w:val="center"/>
          </w:tcPr>
          <w:p>
            <w:pPr>
              <w:spacing w:before="40" w:after="40"/>
              <w:rPr>
                <w:rFonts w:eastAsia="黑体"/>
                <w:szCs w:val="21"/>
                <w:lang w:eastAsia="ja-JP"/>
              </w:rPr>
            </w:pPr>
          </w:p>
        </w:tc>
        <w:tc>
          <w:tcPr>
            <w:tcW w:w="545" w:type="dxa"/>
            <w:vAlign w:val="center"/>
          </w:tcPr>
          <w:p>
            <w:pPr>
              <w:spacing w:before="40" w:after="40"/>
              <w:rPr>
                <w:rFonts w:eastAsia="黑体"/>
                <w:szCs w:val="21"/>
                <w:lang w:eastAsia="ja-JP"/>
              </w:rPr>
            </w:pPr>
          </w:p>
        </w:tc>
        <w:tc>
          <w:tcPr>
            <w:tcW w:w="2736" w:type="dxa"/>
            <w:vAlign w:val="center"/>
          </w:tcPr>
          <w:p>
            <w:pPr>
              <w:spacing w:before="40" w:after="40"/>
              <w:rPr>
                <w:rFonts w:eastAsia="黑体"/>
                <w:szCs w:val="21"/>
                <w:lang w:eastAsia="ja-JP"/>
              </w:rPr>
            </w:pPr>
          </w:p>
        </w:tc>
        <w:tc>
          <w:tcPr>
            <w:tcW w:w="1715"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962" w:type="dxa"/>
            <w:vAlign w:val="center"/>
          </w:tcPr>
          <w:p>
            <w:pPr>
              <w:spacing w:before="40" w:after="40"/>
              <w:rPr>
                <w:rFonts w:eastAsia="黑体"/>
                <w:szCs w:val="21"/>
                <w:lang w:eastAsia="ja-JP"/>
              </w:rPr>
            </w:pPr>
          </w:p>
        </w:tc>
        <w:tc>
          <w:tcPr>
            <w:tcW w:w="1619" w:type="dxa"/>
            <w:vAlign w:val="center"/>
          </w:tcPr>
          <w:p>
            <w:pPr>
              <w:spacing w:before="40" w:after="40"/>
              <w:rPr>
                <w:rFonts w:eastAsia="黑体"/>
                <w:szCs w:val="21"/>
                <w:lang w:eastAsia="ja-JP"/>
              </w:rPr>
            </w:pPr>
          </w:p>
        </w:tc>
        <w:tc>
          <w:tcPr>
            <w:tcW w:w="545" w:type="dxa"/>
            <w:vAlign w:val="center"/>
          </w:tcPr>
          <w:p>
            <w:pPr>
              <w:spacing w:before="40" w:after="40"/>
              <w:rPr>
                <w:rFonts w:eastAsia="黑体"/>
                <w:szCs w:val="21"/>
                <w:lang w:eastAsia="ja-JP"/>
              </w:rPr>
            </w:pPr>
          </w:p>
        </w:tc>
        <w:tc>
          <w:tcPr>
            <w:tcW w:w="2736" w:type="dxa"/>
            <w:vAlign w:val="center"/>
          </w:tcPr>
          <w:p>
            <w:pPr>
              <w:spacing w:before="40" w:after="40"/>
              <w:rPr>
                <w:rFonts w:eastAsia="黑体"/>
                <w:szCs w:val="21"/>
                <w:lang w:eastAsia="ja-JP"/>
              </w:rPr>
            </w:pPr>
          </w:p>
        </w:tc>
        <w:tc>
          <w:tcPr>
            <w:tcW w:w="1715"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highlight w:val="non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2022</w:t>
            </w:r>
            <w:r>
              <w:rPr>
                <w:rFonts w:hint="eastAsia" w:ascii="宋体" w:hAnsi="宋体" w:eastAsia="宋体"/>
                <w:color w:val="000000"/>
                <w:sz w:val="21"/>
                <w:szCs w:val="21"/>
                <w:highlight w:val="none"/>
                <w:u w:val="single"/>
                <w:lang w:val="en-US" w:eastAsia="zh-CN"/>
              </w:rPr>
              <w:t>年2月20日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lang w:val="en-US" w:eastAsia="zh-CN"/>
              </w:rPr>
              <w:t>行政人事中心</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2022-06-</w:t>
            </w:r>
            <w:bookmarkEnd w:id="33"/>
            <w:r>
              <w:rPr>
                <w:rFonts w:hint="eastAsia" w:ascii="宋体"/>
                <w:b/>
                <w:color w:val="000000"/>
                <w:szCs w:val="21"/>
                <w:lang w:val="en-US" w:eastAsia="zh-CN"/>
              </w:rPr>
              <w:t>17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bookmarkStart w:id="34" w:name="_GoBack"/>
            <w:bookmarkEnd w:id="34"/>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4293235</wp:posOffset>
            </wp:positionH>
            <wp:positionV relativeFrom="paragraph">
              <wp:posOffset>112395</wp:posOffset>
            </wp:positionV>
            <wp:extent cx="792480" cy="585470"/>
            <wp:effectExtent l="0" t="0" r="0" b="0"/>
            <wp:wrapSquare wrapText="bothSides"/>
            <wp:docPr id="2" name="图片 2" descr="53bb5a8fec395d7597f2f7c8d7c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bb5a8fec395d7597f2f7c8d7c7178"/>
                    <pic:cNvPicPr>
                      <a:picLocks noChangeAspect="1"/>
                    </pic:cNvPicPr>
                  </pic:nvPicPr>
                  <pic:blipFill>
                    <a:blip r:embed="rId6"/>
                    <a:stretch>
                      <a:fillRect/>
                    </a:stretch>
                  </pic:blipFill>
                  <pic:spPr>
                    <a:xfrm>
                      <a:off x="0" y="0"/>
                      <a:ext cx="792480" cy="5854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888365" cy="243840"/>
            <wp:effectExtent l="0" t="0" r="635" b="10160"/>
            <wp:docPr id="3"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审核任务\电子签\李丽英电子签名.png"/>
                    <pic:cNvPicPr>
                      <a:picLocks noChangeAspect="1"/>
                    </pic:cNvPicPr>
                  </pic:nvPicPr>
                  <pic:blipFill>
                    <a:blip r:embed="rId7"/>
                    <a:stretch>
                      <a:fillRect/>
                    </a:stretch>
                  </pic:blipFill>
                  <pic:spPr>
                    <a:xfrm>
                      <a:off x="0" y="0"/>
                      <a:ext cx="888365" cy="243840"/>
                    </a:xfrm>
                    <a:prstGeom prst="rect">
                      <a:avLst/>
                    </a:prstGeom>
                    <a:noFill/>
                    <a:ln>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1312" behindDoc="0" locked="0" layoutInCell="1" allowOverlap="1">
                  <wp:simplePos x="0" y="0"/>
                  <wp:positionH relativeFrom="column">
                    <wp:posOffset>744220</wp:posOffset>
                  </wp:positionH>
                  <wp:positionV relativeFrom="paragraph">
                    <wp:posOffset>27940</wp:posOffset>
                  </wp:positionV>
                  <wp:extent cx="888365" cy="243840"/>
                  <wp:effectExtent l="0" t="0" r="635" b="10160"/>
                  <wp:wrapSquare wrapText="bothSides"/>
                  <wp:docPr id="5"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审核任务\电子签\李丽英电子签名.png"/>
                          <pic:cNvPicPr>
                            <a:picLocks noChangeAspect="1"/>
                          </pic:cNvPicPr>
                        </pic:nvPicPr>
                        <pic:blipFill>
                          <a:blip r:embed="rId7"/>
                          <a:stretch>
                            <a:fillRect/>
                          </a:stretch>
                        </pic:blipFill>
                        <pic:spPr>
                          <a:xfrm>
                            <a:off x="0" y="0"/>
                            <a:ext cx="888365" cy="24384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drawing>
                <wp:anchor distT="0" distB="0" distL="114300" distR="114300" simplePos="0" relativeHeight="251662336" behindDoc="0" locked="0" layoutInCell="1" allowOverlap="1">
                  <wp:simplePos x="0" y="0"/>
                  <wp:positionH relativeFrom="column">
                    <wp:posOffset>587375</wp:posOffset>
                  </wp:positionH>
                  <wp:positionV relativeFrom="paragraph">
                    <wp:posOffset>48895</wp:posOffset>
                  </wp:positionV>
                  <wp:extent cx="888365" cy="243840"/>
                  <wp:effectExtent l="0" t="0" r="635" b="10160"/>
                  <wp:wrapSquare wrapText="bothSides"/>
                  <wp:docPr id="6"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审核任务\电子签\李丽英电子签名.png"/>
                          <pic:cNvPicPr>
                            <a:picLocks noChangeAspect="1"/>
                          </pic:cNvPicPr>
                        </pic:nvPicPr>
                        <pic:blipFill>
                          <a:blip r:embed="rId7"/>
                          <a:stretch>
                            <a:fillRect/>
                          </a:stretch>
                        </pic:blipFill>
                        <pic:spPr>
                          <a:xfrm>
                            <a:off x="0" y="0"/>
                            <a:ext cx="888365" cy="24384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C5416B"/>
    <w:rsid w:val="0A366E3B"/>
    <w:rsid w:val="622D5A3B"/>
    <w:rsid w:val="6D3D4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2022-06-16T07:40:52Z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