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0773-2022-Q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唐山市永信实业有限公司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0773-2022-Q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911302027401824361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■不带标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唐山市永信实业有限公司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专用机械设备（通用试验设备、磁悬浮称重试验台、制动部件试验台）的制造；金属材料(除稀贵金属)、五金、交电、化工产品(除资质外)、橡胶制品的销售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河北省唐山市路南区复兴路花园酒家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唐山市路南区吉祥路88号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Tangshan Yongxin Industrial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</w:rPr>
              <w:t>Manufacturing of special mechanical equipment (general test equipment, magnetic levitation weighing test bench, brake component test bench); Sales of metal materials (except rare and precious metals), hardware, electric power, chemical products (except qualification) and rubber products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_GoBack"/>
            <w:bookmarkEnd w:id="15"/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Fuxing Road Huayuan restaurant, Lunan District, Tangshan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88, Jixiang Road, Lunan District, Tangshan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drawing>
                <wp:inline distT="0" distB="0" distL="114300" distR="114300">
                  <wp:extent cx="571500" cy="274320"/>
                  <wp:effectExtent l="0" t="0" r="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0104C16"/>
    <w:rsid w:val="35BC2E55"/>
    <w:rsid w:val="3D6E2CAE"/>
    <w:rsid w:val="4F783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2022-06-12T07:05:37Z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