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0773-2022-Q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唐山市永信实业有限公司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2022年06月11日 上午至2022年06月11日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张星</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2020-N1QMS-1263722</w:t>
            </w:r>
          </w:p>
        </w:tc>
        <w:tc>
          <w:tcPr>
            <w:tcW w:w="1140" w:type="dxa"/>
            <w:vAlign w:val="center"/>
          </w:tcPr>
          <w:p>
            <w:pPr>
              <w:spacing w:line="240" w:lineRule="exact"/>
              <w:jc w:val="center"/>
              <w:rPr>
                <w:b/>
                <w:color w:val="000000"/>
                <w:szCs w:val="21"/>
              </w:rPr>
            </w:pPr>
            <w:r>
              <w:rPr>
                <w:b/>
                <w:color w:val="000000"/>
                <w:szCs w:val="21"/>
              </w:rPr>
              <w:t>19.05.01,29.11.05,29.12.00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唐山市永信实业有限公司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河北省唐山市路南区复兴路花园酒家</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063000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唐山市路南区吉祥路88号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063000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张勋</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177 2552 9388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丁永超</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张勋</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r>
              <w:rPr>
                <w:rFonts w:hint="eastAsia" w:ascii="宋体" w:hAnsi="宋体"/>
                <w:b/>
                <w:color w:val="000000"/>
                <w:szCs w:val="21"/>
              </w:rPr>
              <w:t>专用机械设备（通用试验设备、磁悬浮称重试验台、制动部件试验台）的制造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r>
              <w:rPr>
                <w:rFonts w:hint="eastAsia" w:ascii="宋体" w:hAnsi="宋体"/>
                <w:b/>
                <w:color w:val="000000"/>
                <w:szCs w:val="21"/>
              </w:rPr>
              <w:t>金属材料(除稀贵金属)、五金、交电、化工产品(除资质外)、橡胶制品的销售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59" w:leftChars="100" w:hanging="149" w:hangingChars="71"/>
              <w:rPr>
                <w:rFonts w:hint="eastAsia" w:ascii="宋体"/>
                <w:color w:val="000000"/>
                <w:szCs w:val="21"/>
              </w:rPr>
            </w:pPr>
            <w:r>
              <w:rPr>
                <w:rFonts w:hint="eastAsia" w:ascii="宋体"/>
                <w:color w:val="000000"/>
                <w:szCs w:val="21"/>
              </w:rPr>
              <w:t>原材料采购（半成品）----组装-----成品-----检验-----入库</w:t>
            </w:r>
          </w:p>
          <w:p>
            <w:pPr>
              <w:tabs>
                <w:tab w:val="left" w:pos="360"/>
              </w:tabs>
              <w:ind w:left="360" w:hanging="360"/>
              <w:rPr>
                <w:rFonts w:ascii="宋体"/>
                <w:color w:val="000000"/>
                <w:szCs w:val="21"/>
              </w:rPr>
            </w:pPr>
            <w:r>
              <w:rPr>
                <w:rFonts w:hint="eastAsia" w:ascii="宋体"/>
                <w:color w:val="000000"/>
                <w:szCs w:val="21"/>
              </w:rPr>
              <w:t xml:space="preserve"> 业务洽谈-- 签订合同 --产品采购-- 发货至顾客指定地点---结算 --客户验收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专用机械设备（通用试验设备、磁悬浮称重试验台、制动部件试验台）的制造；金属材料(除稀贵金属)、五金、交电、化工产品(除资质外)、橡胶制品的销售</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19.05.01;29.11.05;29.12.00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769"/>
        <w:gridCol w:w="630"/>
        <w:gridCol w:w="2880"/>
        <w:gridCol w:w="103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3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80"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03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18"/>
                <w:szCs w:val="18"/>
              </w:rPr>
              <w:t>唐山市永信实业有限公司</w:t>
            </w:r>
          </w:p>
        </w:tc>
        <w:tc>
          <w:tcPr>
            <w:tcW w:w="1769" w:type="dxa"/>
          </w:tcPr>
          <w:p>
            <w:pPr>
              <w:spacing w:before="40" w:after="40"/>
              <w:rPr>
                <w:rFonts w:eastAsia="黑体"/>
                <w:szCs w:val="21"/>
                <w:lang w:val="de-DE" w:eastAsia="ja-JP"/>
              </w:rPr>
            </w:pPr>
            <w:r>
              <w:rPr>
                <w:sz w:val="18"/>
                <w:szCs w:val="18"/>
              </w:rPr>
              <w:t>唐山市路南区吉祥路88号</w:t>
            </w:r>
          </w:p>
        </w:tc>
        <w:tc>
          <w:tcPr>
            <w:tcW w:w="630"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880" w:type="dxa"/>
            <w:vAlign w:val="center"/>
          </w:tcPr>
          <w:p>
            <w:pPr>
              <w:pStyle w:val="19"/>
              <w:rPr>
                <w:rFonts w:eastAsia="黑体" w:cs="Arial"/>
                <w:sz w:val="21"/>
                <w:szCs w:val="21"/>
                <w:lang w:val="en-US" w:eastAsia="ja-JP"/>
              </w:rPr>
            </w:pPr>
            <w:r>
              <w:rPr>
                <w:rFonts w:hint="eastAsia" w:eastAsia="黑体" w:cs="Arial"/>
                <w:sz w:val="21"/>
                <w:szCs w:val="21"/>
                <w:lang w:val="en-US" w:eastAsia="ja-JP"/>
              </w:rPr>
              <w:t>专用机械设备（通用试验设备、磁悬浮称重试验台、制动部件试验台）的制造；金属材料(除稀贵金属)、五金、交电、化工产品(除资质外)、橡胶制品的销售</w:t>
            </w:r>
          </w:p>
        </w:tc>
        <w:tc>
          <w:tcPr>
            <w:tcW w:w="1031" w:type="dxa"/>
            <w:vAlign w:val="center"/>
          </w:tcPr>
          <w:p>
            <w:pPr>
              <w:spacing w:before="40" w:after="40"/>
              <w:rPr>
                <w:rFonts w:eastAsia="黑体"/>
                <w:szCs w:val="21"/>
                <w:lang w:eastAsia="ja-JP"/>
              </w:rPr>
            </w:pPr>
            <w:r>
              <w:rPr>
                <w:rFonts w:hint="eastAsia" w:eastAsia="黑体"/>
                <w:szCs w:val="21"/>
                <w:lang w:eastAsia="ja-JP"/>
              </w:rPr>
              <w:t>GB/T19001-2016/ISO 9001:2015</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eastAsia="黑体"/>
                    <w:szCs w:val="21"/>
                    <w:lang w:eastAsia="ja-JP"/>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r>
              <w:rPr>
                <w:sz w:val="18"/>
                <w:szCs w:val="18"/>
              </w:rPr>
              <w:t>河北省唐山市路南区复兴路花园酒家</w:t>
            </w:r>
          </w:p>
        </w:tc>
        <w:tc>
          <w:tcPr>
            <w:tcW w:w="1769" w:type="dxa"/>
            <w:vAlign w:val="center"/>
          </w:tcPr>
          <w:p>
            <w:pPr>
              <w:spacing w:before="40" w:after="40"/>
              <w:rPr>
                <w:rFonts w:eastAsia="黑体"/>
                <w:szCs w:val="21"/>
                <w:lang w:eastAsia="ja-JP"/>
              </w:rPr>
            </w:pPr>
          </w:p>
        </w:tc>
        <w:tc>
          <w:tcPr>
            <w:tcW w:w="630" w:type="dxa"/>
            <w:vAlign w:val="center"/>
          </w:tcPr>
          <w:p>
            <w:pPr>
              <w:spacing w:before="40" w:after="40"/>
              <w:rPr>
                <w:rFonts w:eastAsia="黑体"/>
                <w:szCs w:val="21"/>
                <w:lang w:eastAsia="ja-JP"/>
              </w:rPr>
            </w:pPr>
          </w:p>
        </w:tc>
        <w:tc>
          <w:tcPr>
            <w:tcW w:w="2880" w:type="dxa"/>
            <w:vAlign w:val="center"/>
          </w:tcPr>
          <w:p>
            <w:pPr>
              <w:spacing w:before="40" w:after="40"/>
              <w:rPr>
                <w:rFonts w:eastAsia="黑体"/>
                <w:szCs w:val="21"/>
                <w:lang w:eastAsia="ja-JP"/>
              </w:rPr>
            </w:pPr>
          </w:p>
        </w:tc>
        <w:tc>
          <w:tcPr>
            <w:tcW w:w="103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769" w:type="dxa"/>
            <w:vAlign w:val="center"/>
          </w:tcPr>
          <w:p>
            <w:pPr>
              <w:spacing w:before="40" w:after="40"/>
              <w:rPr>
                <w:rFonts w:eastAsia="黑体"/>
                <w:szCs w:val="21"/>
                <w:lang w:eastAsia="ja-JP"/>
              </w:rPr>
            </w:pPr>
          </w:p>
        </w:tc>
        <w:tc>
          <w:tcPr>
            <w:tcW w:w="630" w:type="dxa"/>
            <w:vAlign w:val="center"/>
          </w:tcPr>
          <w:p>
            <w:pPr>
              <w:spacing w:before="40" w:after="40"/>
              <w:rPr>
                <w:rFonts w:eastAsia="黑体"/>
                <w:szCs w:val="21"/>
                <w:lang w:eastAsia="ja-JP"/>
              </w:rPr>
            </w:pPr>
          </w:p>
        </w:tc>
        <w:tc>
          <w:tcPr>
            <w:tcW w:w="2880" w:type="dxa"/>
            <w:vAlign w:val="center"/>
          </w:tcPr>
          <w:p>
            <w:pPr>
              <w:spacing w:before="40" w:after="40"/>
              <w:rPr>
                <w:rFonts w:eastAsia="黑体"/>
                <w:szCs w:val="21"/>
                <w:lang w:eastAsia="ja-JP"/>
              </w:rPr>
            </w:pPr>
          </w:p>
        </w:tc>
        <w:tc>
          <w:tcPr>
            <w:tcW w:w="103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769" w:type="dxa"/>
            <w:vAlign w:val="center"/>
          </w:tcPr>
          <w:p>
            <w:pPr>
              <w:spacing w:before="40" w:after="40"/>
              <w:rPr>
                <w:rFonts w:eastAsia="黑体"/>
                <w:szCs w:val="21"/>
                <w:lang w:eastAsia="ja-JP"/>
              </w:rPr>
            </w:pPr>
          </w:p>
        </w:tc>
        <w:tc>
          <w:tcPr>
            <w:tcW w:w="630" w:type="dxa"/>
            <w:vAlign w:val="center"/>
          </w:tcPr>
          <w:p>
            <w:pPr>
              <w:spacing w:before="40" w:after="40"/>
              <w:rPr>
                <w:rFonts w:eastAsia="黑体"/>
                <w:szCs w:val="21"/>
                <w:lang w:eastAsia="ja-JP"/>
              </w:rPr>
            </w:pPr>
          </w:p>
        </w:tc>
        <w:tc>
          <w:tcPr>
            <w:tcW w:w="2880" w:type="dxa"/>
            <w:vAlign w:val="center"/>
          </w:tcPr>
          <w:p>
            <w:pPr>
              <w:spacing w:before="40" w:after="40"/>
              <w:rPr>
                <w:rFonts w:eastAsia="黑体"/>
                <w:szCs w:val="21"/>
                <w:lang w:eastAsia="ja-JP"/>
              </w:rPr>
            </w:pPr>
          </w:p>
        </w:tc>
        <w:tc>
          <w:tcPr>
            <w:tcW w:w="103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769" w:type="dxa"/>
            <w:vAlign w:val="center"/>
          </w:tcPr>
          <w:p>
            <w:pPr>
              <w:spacing w:before="40" w:after="40"/>
              <w:rPr>
                <w:rFonts w:eastAsia="黑体"/>
                <w:szCs w:val="21"/>
                <w:lang w:eastAsia="ja-JP"/>
              </w:rPr>
            </w:pPr>
            <w:bookmarkStart w:id="36" w:name="_GoBack"/>
            <w:bookmarkEnd w:id="36"/>
          </w:p>
        </w:tc>
        <w:tc>
          <w:tcPr>
            <w:tcW w:w="630" w:type="dxa"/>
            <w:vAlign w:val="center"/>
          </w:tcPr>
          <w:p>
            <w:pPr>
              <w:spacing w:before="40" w:after="40"/>
              <w:rPr>
                <w:rFonts w:eastAsia="黑体"/>
                <w:szCs w:val="21"/>
                <w:lang w:eastAsia="ja-JP"/>
              </w:rPr>
            </w:pPr>
          </w:p>
        </w:tc>
        <w:tc>
          <w:tcPr>
            <w:tcW w:w="2880" w:type="dxa"/>
            <w:vAlign w:val="center"/>
          </w:tcPr>
          <w:p>
            <w:pPr>
              <w:spacing w:before="40" w:after="40"/>
              <w:rPr>
                <w:rFonts w:eastAsia="黑体"/>
                <w:szCs w:val="21"/>
                <w:lang w:eastAsia="ja-JP"/>
              </w:rPr>
            </w:pPr>
          </w:p>
        </w:tc>
        <w:tc>
          <w:tcPr>
            <w:tcW w:w="103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eastAsia="宋体" w:cs="Times New Roman"/>
                <w:b/>
                <w:color w:val="000000"/>
                <w:kern w:val="2"/>
                <w:sz w:val="24"/>
                <w:szCs w:val="24"/>
                <w:lang w:val="de-DE" w:eastAsia="zh-CN" w:bidi="ar-SA"/>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 xml:space="preserve"> </w:t>
            </w:r>
            <w:r>
              <w:rPr>
                <w:rFonts w:hint="eastAsia" w:ascii="宋体" w:hAnsi="宋体"/>
                <w:color w:val="000000"/>
                <w:spacing w:val="-10"/>
                <w:szCs w:val="21"/>
              </w:rPr>
              <w:t>□</w:t>
            </w:r>
            <w:r>
              <w:rPr>
                <w:rFonts w:hint="eastAsia" w:ascii="宋体" w:hAnsi="宋体"/>
                <w:color w:val="000000"/>
                <w:spacing w:val="-10"/>
                <w:szCs w:val="21"/>
                <w:lang w:val="de-DE"/>
              </w:rPr>
              <w:t>不</w:t>
            </w:r>
            <w:r>
              <w:rPr>
                <w:rFonts w:hint="eastAsia" w:ascii="宋体" w:hAnsi="宋体"/>
                <w:color w:val="000000"/>
                <w:spacing w:val="-10"/>
                <w:szCs w:val="21"/>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s="Times New Roman"/>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s="Times New Roman"/>
                <w:color w:val="000000"/>
                <w:szCs w:val="21"/>
                <w:lang w:val="de-DE"/>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b/>
                <w:color w:val="000000"/>
                <w:szCs w:val="21"/>
                <w:u w:val="single"/>
                <w:lang w:val="en-US" w:eastAsia="zh-CN"/>
              </w:rPr>
              <w:t>2022</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2022</w:t>
            </w:r>
            <w:r>
              <w:rPr>
                <w:rFonts w:hint="eastAsia" w:ascii="宋体" w:hAnsi="宋体"/>
                <w:b/>
                <w:color w:val="000000"/>
                <w:szCs w:val="21"/>
                <w:u w:val="single"/>
              </w:rPr>
              <w:t xml:space="preserve">   年</w:t>
            </w:r>
            <w:r>
              <w:rPr>
                <w:rFonts w:hint="eastAsia" w:ascii="宋体" w:hAnsi="宋体"/>
                <w:b/>
                <w:color w:val="000000"/>
                <w:szCs w:val="21"/>
                <w:u w:val="single"/>
                <w:lang w:val="en-US" w:eastAsia="zh-CN"/>
              </w:rPr>
              <w:t>5</w:t>
            </w:r>
            <w:r>
              <w:rPr>
                <w:rFonts w:hint="eastAsia" w:ascii="宋体" w:hAnsi="宋体"/>
                <w:b/>
                <w:color w:val="000000"/>
                <w:szCs w:val="21"/>
                <w:u w:val="single"/>
              </w:rPr>
              <w:t xml:space="preserve">月 </w:t>
            </w:r>
            <w:r>
              <w:rPr>
                <w:rFonts w:hint="eastAsia" w:ascii="宋体" w:hAnsi="宋体"/>
                <w:b/>
                <w:color w:val="000000"/>
                <w:szCs w:val="21"/>
                <w:u w:val="single"/>
                <w:lang w:val="en-US" w:eastAsia="zh-CN"/>
              </w:rPr>
              <w:t>11-12</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2022  年 5 月 26日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组装/销售</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销售</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FF0000"/>
                <w:spacing w:val="-10"/>
                <w:szCs w:val="21"/>
                <w:lang w:val="en-US" w:eastAsia="zh-CN"/>
              </w:rPr>
            </w:pPr>
            <w:r>
              <w:rPr>
                <w:rFonts w:hint="eastAsia" w:ascii="宋体" w:hAnsi="宋体" w:eastAsia="宋体" w:cs="Times New Roman"/>
                <w:color w:val="00000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A3"/>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 xml:space="preserve">采购过程 </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2022-0</w:t>
            </w:r>
            <w:r>
              <w:rPr>
                <w:rFonts w:hint="eastAsia" w:ascii="宋体"/>
                <w:b/>
                <w:color w:val="000000"/>
                <w:szCs w:val="21"/>
                <w:lang w:val="en-US" w:eastAsia="zh-CN"/>
              </w:rPr>
              <w:t>6</w:t>
            </w:r>
            <w:r>
              <w:rPr>
                <w:rFonts w:hint="eastAsia" w:ascii="宋体"/>
                <w:b/>
                <w:color w:val="000000"/>
                <w:szCs w:val="21"/>
              </w:rPr>
              <w:t>-</w:t>
            </w:r>
            <w:bookmarkEnd w:id="35"/>
            <w:r>
              <w:rPr>
                <w:rFonts w:hint="eastAsia" w:ascii="宋体"/>
                <w:b/>
                <w:color w:val="000000"/>
                <w:szCs w:val="21"/>
                <w:lang w:val="en-US" w:eastAsia="zh-CN"/>
              </w:rPr>
              <w:t>12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w:t>
            </w:r>
            <w:r>
              <w:rPr>
                <w:rFonts w:hint="eastAsia" w:ascii="宋体" w:hAnsi="宋体"/>
                <w:b/>
                <w:color w:val="000000"/>
                <w:szCs w:val="21"/>
              </w:rPr>
              <w:t>少量问题存在, 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before="156" w:beforeLines="50" w:line="360" w:lineRule="exact"/>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rFonts w:hint="eastAsia" w:ascii="宋体" w:hAnsi="宋体"/>
                <w:b/>
                <w:color w:val="000000"/>
                <w:szCs w:val="21"/>
              </w:rPr>
              <w:t>专用机械设备（通用试验设备、磁悬浮称重试验台、制动部件试验台）的制造；金属材料(除稀贵金属)、五金、交电、化工产品(除资质外)、橡胶制品的销售</w:t>
            </w: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19.05.01;29.11.05;29.12.00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684530" cy="219075"/>
            <wp:effectExtent l="0" t="0" r="127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84530" cy="219075"/>
                    </a:xfrm>
                    <a:prstGeom prst="rect">
                      <a:avLst/>
                    </a:prstGeom>
                    <a:noFill/>
                    <a:ln>
                      <a:noFill/>
                    </a:ln>
                  </pic:spPr>
                </pic:pic>
              </a:graphicData>
            </a:graphic>
          </wp:inline>
        </w:drawing>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684530" cy="225425"/>
            <wp:effectExtent l="0" t="0" r="127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684530" cy="225425"/>
                    </a:xfrm>
                    <a:prstGeom prst="rect">
                      <a:avLst/>
                    </a:prstGeom>
                    <a:noFill/>
                    <a:ln>
                      <a:noFill/>
                    </a:ln>
                  </pic:spPr>
                </pic:pic>
              </a:graphicData>
            </a:graphic>
          </wp:inline>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2022.6.11</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2"/>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2"/>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ascii="宋体" w:hAnsi="宋体"/>
                <w:b/>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2"/>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 xml:space="preserve">  无</w:t>
            </w: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r>
              <w:drawing>
                <wp:inline distT="0" distB="0" distL="114300" distR="114300">
                  <wp:extent cx="969645" cy="167640"/>
                  <wp:effectExtent l="0" t="0" r="825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969645" cy="167640"/>
                          </a:xfrm>
                          <a:prstGeom prst="rect">
                            <a:avLst/>
                          </a:prstGeom>
                          <a:noFill/>
                          <a:ln>
                            <a:noFill/>
                          </a:ln>
                        </pic:spPr>
                      </pic:pic>
                    </a:graphicData>
                  </a:graphic>
                </wp:inline>
              </w:drawing>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11</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11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GI4NjI5OTBmMDM1ODFlMDkzNDFlZTFiMWNhZWU5ZTMifQ=="/>
  </w:docVars>
  <w:rsids>
    <w:rsidRoot w:val="00000000"/>
    <w:rsid w:val="019F2ECE"/>
    <w:rsid w:val="26BE0270"/>
    <w:rsid w:val="2DCE09B6"/>
    <w:rsid w:val="48527DAF"/>
    <w:rsid w:val="6DCA3CAB"/>
    <w:rsid w:val="71FE6D70"/>
    <w:rsid w:val="7C1F1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1"/>
    <w:semiHidden/>
    <w:qFormat/>
    <w:uiPriority w:val="99"/>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6"/>
    <w:qFormat/>
    <w:locked/>
    <w:uiPriority w:val="99"/>
    <w:rPr>
      <w:rFonts w:ascii="Times New Roman" w:hAnsi="Times New Roman" w:eastAsia="宋体" w:cs="Times New Roman"/>
      <w:sz w:val="18"/>
      <w:szCs w:val="18"/>
    </w:rPr>
  </w:style>
  <w:style w:type="character" w:customStyle="1" w:styleId="13">
    <w:name w:val="页眉 Char"/>
    <w:link w:val="2"/>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9</TotalTime>
  <ScaleCrop>false</ScaleCrop>
  <LinksUpToDate>false</LinksUpToDate>
  <CharactersWithSpaces>9461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企业咨询17334292415</cp:lastModifiedBy>
  <dcterms:modified xsi:type="dcterms:W3CDTF">2022-06-23T09:39:22Z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2052-11.1.0.11830</vt:lpwstr>
  </property>
</Properties>
</file>