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贵州尊朋酒业有限公司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贵州省遵义市播州区鸭溪镇金刀村茅台生态循环经济产业示范园区</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贵州省遵义市播州区鸭溪镇金刀村茅台生态循环经济产业示范园区</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周万银</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15085071520</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1025268972@qq.com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0771-2022-QEOFH</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Q：酱香型白酒（基酒）的生产</w:t>
            </w:r>
          </w:p>
          <w:p w:rsidR="00A62166">
            <w:pPr>
              <w:rPr>
                <w:sz w:val="20"/>
              </w:rPr>
            </w:pPr>
            <w:r>
              <w:rPr>
                <w:sz w:val="20"/>
              </w:rPr>
              <w:t>E：酱香型白酒（基酒）的生产所涉及场所的相关环境管理活动</w:t>
            </w:r>
          </w:p>
          <w:p w:rsidR="00A62166">
            <w:pPr>
              <w:rPr>
                <w:sz w:val="20"/>
              </w:rPr>
            </w:pPr>
            <w:r>
              <w:rPr>
                <w:sz w:val="20"/>
              </w:rPr>
              <w:t>O：酱香型白酒（基酒）的生产所涉及场所的相关职业健康安全管理活动</w:t>
            </w:r>
          </w:p>
          <w:p w:rsidR="00A62166">
            <w:pPr>
              <w:rPr>
                <w:sz w:val="20"/>
              </w:rPr>
            </w:pPr>
            <w:r>
              <w:rPr>
                <w:sz w:val="20"/>
              </w:rPr>
              <w:t>F：位于贵州省遵义市播州区鸭溪镇金刀村茅台生态循环经济产业示范园区贵州尊朋酒业有限公司制酒车间酱香型白酒（基酒）的生产</w:t>
            </w:r>
          </w:p>
          <w:p w:rsidR="00A62166">
            <w:pPr>
              <w:rPr>
                <w:sz w:val="20"/>
              </w:rPr>
            </w:pPr>
            <w:r>
              <w:rPr>
                <w:sz w:val="20"/>
              </w:rPr>
              <w:t>H：位于贵州省遵义市播州区鸭溪镇金刀村茅台生态循环经济产业示范园区贵州尊朋酒业有限公司制酒车间酱香型白酒（基酒）的生产</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Q：03.10.01</w:t>
            </w:r>
          </w:p>
          <w:p w:rsidR="00A62166">
            <w:pPr>
              <w:jc w:val="left"/>
              <w:rPr>
                <w:sz w:val="20"/>
              </w:rPr>
            </w:pPr>
            <w:r>
              <w:rPr>
                <w:sz w:val="20"/>
              </w:rPr>
              <w:t>E：03.10.01</w:t>
            </w:r>
          </w:p>
          <w:p w:rsidR="00A62166">
            <w:pPr>
              <w:jc w:val="left"/>
              <w:rPr>
                <w:sz w:val="20"/>
              </w:rPr>
            </w:pPr>
            <w:r>
              <w:rPr>
                <w:sz w:val="20"/>
              </w:rPr>
              <w:t>O：03.10.01</w:t>
            </w:r>
          </w:p>
          <w:p w:rsidR="00A62166">
            <w:pPr>
              <w:jc w:val="left"/>
              <w:rPr>
                <w:sz w:val="20"/>
              </w:rPr>
            </w:pPr>
            <w:r>
              <w:rPr>
                <w:sz w:val="20"/>
              </w:rPr>
              <w:t>F：CIV-5</w:t>
            </w:r>
          </w:p>
          <w:p w:rsidR="00A62166">
            <w:pPr>
              <w:jc w:val="left"/>
              <w:rPr>
                <w:sz w:val="20"/>
              </w:rPr>
            </w:pPr>
            <w:r>
              <w:rPr>
                <w:sz w:val="20"/>
              </w:rPr>
              <w:t>H：CIV-5</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GB/T45001-2020/ISO45001：2020标准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2022年06月16日 下午至2022年06月19日 下午</w:t>
            </w:r>
            <w:bookmarkEnd w:id="34"/>
            <w:r>
              <w:rPr>
                <w:rFonts w:hint="eastAsia"/>
                <w:b/>
                <w:sz w:val="20"/>
              </w:rPr>
              <w:t>(</w:t>
            </w:r>
            <w:r>
              <w:rPr>
                <w:rFonts w:hint="eastAsia"/>
                <w:b/>
                <w:sz w:val="20"/>
              </w:rPr>
              <w:t>共</w:t>
            </w:r>
            <w:bookmarkStart w:id="35" w:name="审核天数"/>
            <w:r>
              <w:rPr>
                <w:rFonts w:hint="eastAsia"/>
                <w:b/>
                <w:sz w:val="20"/>
              </w:rPr>
              <w:t>4.0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肖新龙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2020-N1QMS-1232380</w:t>
            </w:r>
          </w:p>
          <w:p w:rsidR="00A62166">
            <w:pPr>
              <w:jc w:val="center"/>
              <w:rPr>
                <w:sz w:val="20"/>
                <w:lang w:val="de-DE"/>
              </w:rPr>
            </w:pPr>
            <w:r>
              <w:rPr>
                <w:sz w:val="20"/>
                <w:lang w:val="de-DE"/>
              </w:rPr>
              <w:t>2021-N1EMS-1232380</w:t>
            </w:r>
          </w:p>
          <w:p w:rsidR="00A62166">
            <w:pPr>
              <w:jc w:val="center"/>
              <w:rPr>
                <w:sz w:val="20"/>
                <w:lang w:val="de-DE"/>
              </w:rPr>
            </w:pPr>
            <w:r>
              <w:rPr>
                <w:sz w:val="20"/>
                <w:lang w:val="de-DE"/>
              </w:rPr>
              <w:t>2021-N1OHSMS-1232380</w:t>
            </w:r>
          </w:p>
          <w:p w:rsidR="00A62166">
            <w:pPr>
              <w:jc w:val="center"/>
              <w:rPr>
                <w:sz w:val="20"/>
                <w:lang w:val="de-DE"/>
              </w:rPr>
            </w:pPr>
            <w:r>
              <w:rPr>
                <w:sz w:val="20"/>
                <w:lang w:val="de-DE"/>
              </w:rPr>
              <w:t>2020-N1FSMS-1232380</w:t>
            </w:r>
          </w:p>
          <w:p w:rsidR="00A62166">
            <w:pPr>
              <w:jc w:val="center"/>
              <w:rPr>
                <w:sz w:val="20"/>
                <w:lang w:val="de-DE"/>
              </w:rPr>
            </w:pPr>
            <w:r>
              <w:rPr>
                <w:sz w:val="20"/>
                <w:lang w:val="de-DE"/>
              </w:rPr>
              <w:t>2020-N1HACCP-1232380</w:t>
            </w:r>
          </w:p>
        </w:tc>
        <w:tc>
          <w:tcPr>
            <w:tcW w:w="1696" w:type="dxa"/>
            <w:gridSpan w:val="2"/>
            <w:vAlign w:val="center"/>
          </w:tcPr>
          <w:p w:rsidR="00A62166">
            <w:pPr>
              <w:jc w:val="center"/>
              <w:rPr>
                <w:sz w:val="20"/>
                <w:lang w:val="de-DE"/>
              </w:rPr>
            </w:pPr>
            <w:r>
              <w:rPr>
                <w:sz w:val="20"/>
                <w:lang w:val="de-DE"/>
              </w:rPr>
              <w:t>E:03.10.01</w:t>
            </w:r>
          </w:p>
          <w:p w:rsidR="00A62166">
            <w:pPr>
              <w:jc w:val="center"/>
              <w:rPr>
                <w:sz w:val="20"/>
                <w:lang w:val="de-DE"/>
              </w:rPr>
            </w:pPr>
            <w:r>
              <w:rPr>
                <w:sz w:val="20"/>
                <w:lang w:val="de-DE"/>
              </w:rPr>
              <w:t>O:03.10.01</w:t>
            </w:r>
          </w:p>
          <w:p w:rsidR="00A62166">
            <w:pPr>
              <w:jc w:val="center"/>
              <w:rPr>
                <w:sz w:val="20"/>
                <w:lang w:val="de-DE"/>
              </w:rPr>
            </w:pPr>
            <w:r>
              <w:rPr>
                <w:sz w:val="20"/>
                <w:lang w:val="de-DE"/>
              </w:rPr>
              <w:t>F:CIV-5</w:t>
            </w:r>
          </w:p>
          <w:p w:rsidR="00A62166">
            <w:pPr>
              <w:jc w:val="center"/>
              <w:rPr>
                <w:sz w:val="20"/>
                <w:lang w:val="de-DE"/>
              </w:rPr>
            </w:pPr>
            <w:r>
              <w:rPr>
                <w:sz w:val="20"/>
                <w:lang w:val="de-DE"/>
              </w:rPr>
              <w:t>H:CIV-5</w:t>
            </w:r>
          </w:p>
        </w:tc>
        <w:tc>
          <w:tcPr>
            <w:tcW w:w="1299" w:type="dxa"/>
            <w:gridSpan w:val="4"/>
            <w:vAlign w:val="center"/>
          </w:tcPr>
          <w:p w:rsidR="00A62166">
            <w:pPr>
              <w:jc w:val="center"/>
              <w:rPr>
                <w:sz w:val="20"/>
                <w:lang w:val="de-DE"/>
              </w:rPr>
            </w:pPr>
            <w:r>
              <w:rPr>
                <w:sz w:val="20"/>
                <w:lang w:val="de-DE"/>
              </w:rPr>
              <w:t>17706316076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任泽华</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2022-N1QMS-4059498</w:t>
            </w:r>
          </w:p>
          <w:p w:rsidR="00A62166">
            <w:pPr>
              <w:jc w:val="center"/>
              <w:rPr>
                <w:sz w:val="20"/>
                <w:lang w:val="de-DE"/>
              </w:rPr>
            </w:pPr>
            <w:r>
              <w:rPr>
                <w:sz w:val="20"/>
                <w:lang w:val="de-DE"/>
              </w:rPr>
              <w:t>2021-N1EMS-3059498</w:t>
            </w:r>
          </w:p>
          <w:p w:rsidR="00A62166">
            <w:pPr>
              <w:jc w:val="center"/>
              <w:rPr>
                <w:sz w:val="20"/>
                <w:lang w:val="de-DE"/>
              </w:rPr>
            </w:pPr>
            <w:r>
              <w:rPr>
                <w:sz w:val="20"/>
                <w:lang w:val="de-DE"/>
              </w:rPr>
              <w:t>2020-N1FSMS-3059498</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13173653732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任学礼</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2020-N1QMS-1232990</w:t>
            </w:r>
          </w:p>
          <w:p w:rsidR="00A62166">
            <w:pPr>
              <w:jc w:val="center"/>
              <w:rPr>
                <w:sz w:val="20"/>
                <w:lang w:val="de-DE"/>
              </w:rPr>
            </w:pPr>
            <w:r>
              <w:rPr>
                <w:sz w:val="20"/>
                <w:lang w:val="de-DE"/>
              </w:rPr>
              <w:t>2022-N1EMS-1232990</w:t>
            </w:r>
          </w:p>
          <w:p w:rsidR="00A62166">
            <w:pPr>
              <w:jc w:val="center"/>
              <w:rPr>
                <w:sz w:val="20"/>
                <w:lang w:val="de-DE"/>
              </w:rPr>
            </w:pPr>
            <w:r>
              <w:rPr>
                <w:sz w:val="20"/>
                <w:lang w:val="de-DE"/>
              </w:rPr>
              <w:t>2021-N1FSMS-1232990</w:t>
            </w:r>
          </w:p>
          <w:p w:rsidR="00A62166">
            <w:pPr>
              <w:jc w:val="center"/>
              <w:rPr>
                <w:sz w:val="20"/>
                <w:lang w:val="de-DE"/>
              </w:rPr>
            </w:pPr>
            <w:r>
              <w:rPr>
                <w:sz w:val="20"/>
                <w:lang w:val="de-DE"/>
              </w:rPr>
              <w:t>2021-N1HACCP-1232990</w:t>
            </w:r>
          </w:p>
        </w:tc>
        <w:tc>
          <w:tcPr>
            <w:tcW w:w="1696" w:type="dxa"/>
            <w:gridSpan w:val="2"/>
            <w:vAlign w:val="center"/>
          </w:tcPr>
          <w:p w:rsidR="00A62166">
            <w:pPr>
              <w:jc w:val="center"/>
              <w:rPr>
                <w:sz w:val="20"/>
                <w:lang w:val="de-DE"/>
              </w:rPr>
            </w:pPr>
            <w:r>
              <w:rPr>
                <w:sz w:val="20"/>
                <w:lang w:val="de-DE"/>
              </w:rPr>
              <w:t>Q:03.10.01</w:t>
            </w:r>
          </w:p>
          <w:p w:rsidR="00A62166">
            <w:pPr>
              <w:jc w:val="center"/>
              <w:rPr>
                <w:sz w:val="20"/>
                <w:lang w:val="de-DE"/>
              </w:rPr>
            </w:pPr>
            <w:r>
              <w:rPr>
                <w:sz w:val="20"/>
                <w:lang w:val="de-DE"/>
              </w:rPr>
              <w:t>E:03.10.01</w:t>
            </w:r>
          </w:p>
          <w:p w:rsidR="00A62166">
            <w:pPr>
              <w:jc w:val="center"/>
              <w:rPr>
                <w:sz w:val="20"/>
                <w:lang w:val="de-DE"/>
              </w:rPr>
            </w:pPr>
            <w:r>
              <w:rPr>
                <w:sz w:val="20"/>
                <w:lang w:val="de-DE"/>
              </w:rPr>
              <w:t>F:CIV-5</w:t>
            </w:r>
          </w:p>
          <w:p w:rsidR="00A62166">
            <w:pPr>
              <w:jc w:val="center"/>
              <w:rPr>
                <w:sz w:val="20"/>
                <w:lang w:val="de-DE"/>
              </w:rPr>
            </w:pPr>
            <w:r>
              <w:rPr>
                <w:sz w:val="20"/>
                <w:lang w:val="de-DE"/>
              </w:rPr>
              <w:t>H:CIV-5</w:t>
            </w:r>
          </w:p>
        </w:tc>
        <w:tc>
          <w:tcPr>
            <w:tcW w:w="1299" w:type="dxa"/>
            <w:gridSpan w:val="4"/>
            <w:vAlign w:val="center"/>
          </w:tcPr>
          <w:p w:rsidR="00A62166">
            <w:pPr>
              <w:jc w:val="center"/>
              <w:rPr>
                <w:sz w:val="20"/>
                <w:lang w:val="de-DE"/>
              </w:rPr>
            </w:pPr>
            <w:r>
              <w:rPr>
                <w:sz w:val="20"/>
                <w:lang w:val="de-DE"/>
              </w:rPr>
              <w:t>15708225160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张静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2021-N1QMS-2011923</w:t>
            </w:r>
          </w:p>
          <w:p w:rsidR="00A62166">
            <w:pPr>
              <w:jc w:val="center"/>
              <w:rPr>
                <w:sz w:val="20"/>
                <w:lang w:val="de-DE"/>
              </w:rPr>
            </w:pPr>
            <w:r>
              <w:rPr>
                <w:sz w:val="20"/>
                <w:lang w:val="de-DE"/>
              </w:rPr>
              <w:t>2021-N1EMS-4011923</w:t>
            </w:r>
          </w:p>
          <w:p w:rsidR="00A62166">
            <w:pPr>
              <w:jc w:val="center"/>
              <w:rPr>
                <w:sz w:val="20"/>
                <w:lang w:val="de-DE"/>
              </w:rPr>
            </w:pPr>
            <w:r>
              <w:rPr>
                <w:sz w:val="20"/>
                <w:lang w:val="de-DE"/>
              </w:rPr>
              <w:t>2020-N1OHSMS-3011923</w:t>
            </w:r>
          </w:p>
          <w:p w:rsidR="00A62166">
            <w:pPr>
              <w:jc w:val="center"/>
              <w:rPr>
                <w:sz w:val="20"/>
                <w:lang w:val="de-DE"/>
              </w:rPr>
            </w:pPr>
            <w:r>
              <w:rPr>
                <w:sz w:val="20"/>
                <w:lang w:val="de-DE"/>
              </w:rPr>
              <w:t>2020-N1FSMS-3011923</w:t>
            </w:r>
          </w:p>
          <w:p w:rsidR="00A62166">
            <w:pPr>
              <w:jc w:val="center"/>
              <w:rPr>
                <w:sz w:val="20"/>
                <w:lang w:val="de-DE"/>
              </w:rPr>
            </w:pPr>
            <w:r>
              <w:rPr>
                <w:sz w:val="20"/>
                <w:lang w:val="de-DE"/>
              </w:rPr>
              <w:t>2021-N1HACCp-3011923</w:t>
            </w:r>
          </w:p>
        </w:tc>
        <w:tc>
          <w:tcPr>
            <w:tcW w:w="1696" w:type="dxa"/>
            <w:gridSpan w:val="2"/>
            <w:vAlign w:val="center"/>
          </w:tcPr>
          <w:p w:rsidR="00A62166">
            <w:pPr>
              <w:jc w:val="center"/>
              <w:rPr>
                <w:sz w:val="20"/>
                <w:lang w:val="de-DE"/>
              </w:rPr>
            </w:pPr>
            <w:r>
              <w:rPr>
                <w:sz w:val="20"/>
                <w:lang w:val="de-DE"/>
              </w:rPr>
              <w:t>Q:03.10.01</w:t>
            </w:r>
          </w:p>
          <w:p w:rsidR="00A62166">
            <w:pPr>
              <w:jc w:val="center"/>
              <w:rPr>
                <w:sz w:val="20"/>
                <w:lang w:val="de-DE"/>
              </w:rPr>
            </w:pPr>
            <w:r>
              <w:rPr>
                <w:sz w:val="20"/>
                <w:lang w:val="de-DE"/>
              </w:rPr>
              <w:t>E:03.10.01</w:t>
            </w:r>
          </w:p>
          <w:p w:rsidR="00A62166">
            <w:pPr>
              <w:jc w:val="center"/>
              <w:rPr>
                <w:sz w:val="20"/>
                <w:lang w:val="de-DE"/>
              </w:rPr>
            </w:pPr>
            <w:r>
              <w:rPr>
                <w:sz w:val="20"/>
                <w:lang w:val="de-DE"/>
              </w:rPr>
              <w:t>O:03.10.01</w:t>
            </w:r>
          </w:p>
          <w:p w:rsidR="00A62166">
            <w:pPr>
              <w:jc w:val="center"/>
              <w:rPr>
                <w:sz w:val="20"/>
                <w:lang w:val="de-DE"/>
              </w:rPr>
            </w:pPr>
            <w:r>
              <w:rPr>
                <w:sz w:val="20"/>
                <w:lang w:val="de-DE"/>
              </w:rPr>
              <w:t>F:CIV-5</w:t>
            </w:r>
          </w:p>
          <w:p w:rsidR="00A62166">
            <w:pPr>
              <w:jc w:val="center"/>
              <w:rPr>
                <w:sz w:val="20"/>
                <w:lang w:val="de-DE"/>
              </w:rPr>
            </w:pPr>
            <w:r>
              <w:rPr>
                <w:sz w:val="20"/>
                <w:lang w:val="de-DE"/>
              </w:rPr>
              <w:t>H:CIV-5</w:t>
            </w:r>
          </w:p>
        </w:tc>
        <w:tc>
          <w:tcPr>
            <w:tcW w:w="1299" w:type="dxa"/>
            <w:gridSpan w:val="4"/>
            <w:vAlign w:val="center"/>
          </w:tcPr>
          <w:p w:rsidR="00A62166">
            <w:pPr>
              <w:jc w:val="center"/>
              <w:rPr>
                <w:sz w:val="20"/>
                <w:lang w:val="de-DE"/>
              </w:rPr>
            </w:pPr>
            <w:r>
              <w:rPr>
                <w:sz w:val="20"/>
                <w:lang w:val="de-DE"/>
              </w:rPr>
              <w:t>13501146660</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59</cp:revision>
  <dcterms:created xsi:type="dcterms:W3CDTF">2015-06-17T14:31:00Z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