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河北鼎润智能装备制造有限公司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河北鼎润智能装备制造有限公司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河北省邯郸市武安市工业园区泉上大道</w:t>
            </w:r>
            <w:bookmarkEnd w:id="6"/>
          </w:p>
        </w:tc>
        <w:tc>
          <w:tcPr>
            <w:tcW w:w="1242" w:type="dxa"/>
            <w:vMerge w:val="restart"/>
            <w:vAlign w:val="center"/>
          </w:tcPr>
          <w:p>
            <w:r>
              <w:rPr>
                <w:rFonts w:hint="eastAsia"/>
              </w:rPr>
              <w:t>邮编</w:t>
            </w:r>
          </w:p>
        </w:tc>
        <w:tc>
          <w:tcPr>
            <w:tcW w:w="1771" w:type="dxa"/>
          </w:tcPr>
          <w:p>
            <w:bookmarkStart w:id="7" w:name="注册邮编"/>
            <w:r>
              <w:t>056300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河北省邯郸市武安市工业园区泉上大道</w:t>
            </w:r>
            <w:bookmarkEnd w:id="8"/>
          </w:p>
        </w:tc>
        <w:tc>
          <w:tcPr>
            <w:tcW w:w="1242" w:type="dxa"/>
            <w:vMerge w:val="continue"/>
            <w:vAlign w:val="center"/>
          </w:tcPr>
          <w:p/>
        </w:tc>
        <w:tc>
          <w:tcPr>
            <w:tcW w:w="1771" w:type="dxa"/>
          </w:tcPr>
          <w:p>
            <w:bookmarkStart w:id="9" w:name="办公邮编"/>
            <w:r>
              <w:t>056300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刘培丰</w:t>
            </w:r>
            <w:bookmarkEnd w:id="10"/>
          </w:p>
        </w:tc>
        <w:tc>
          <w:tcPr>
            <w:tcW w:w="1313" w:type="dxa"/>
            <w:vAlign w:val="center"/>
          </w:tcPr>
          <w:p>
            <w:r>
              <w:rPr>
                <w:rFonts w:hint="eastAsia"/>
              </w:rPr>
              <w:t>电话.</w:t>
            </w:r>
          </w:p>
        </w:tc>
        <w:tc>
          <w:tcPr>
            <w:tcW w:w="2180" w:type="dxa"/>
            <w:vAlign w:val="center"/>
          </w:tcPr>
          <w:p>
            <w:bookmarkStart w:id="11" w:name="联系人电话"/>
            <w:r>
              <w:t>18633669228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徐宁</w:t>
            </w:r>
            <w:bookmarkEnd w:id="13"/>
          </w:p>
        </w:tc>
        <w:tc>
          <w:tcPr>
            <w:tcW w:w="1313" w:type="dxa"/>
            <w:vAlign w:val="center"/>
          </w:tcPr>
          <w:p>
            <w:r>
              <w:rPr>
                <w:rFonts w:hint="eastAsia"/>
              </w:rPr>
              <w:t>管理者代表</w:t>
            </w:r>
          </w:p>
        </w:tc>
        <w:tc>
          <w:tcPr>
            <w:tcW w:w="2180" w:type="dxa"/>
          </w:tcPr>
          <w:p>
            <w:bookmarkStart w:id="14" w:name="管理者代表"/>
            <w:r>
              <w:t>刘培丰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000000"/>
                <w:szCs w:val="21"/>
              </w:rPr>
            </w:pPr>
            <w:r>
              <w:rPr>
                <w:rFonts w:hint="eastAsia" w:ascii="宋体"/>
                <w:color w:val="000000"/>
                <w:szCs w:val="21"/>
              </w:rPr>
              <w:t>金属机械零件的铸造生产流程：</w:t>
            </w:r>
          </w:p>
          <w:p>
            <w:pPr>
              <w:tabs>
                <w:tab w:val="left" w:pos="360"/>
              </w:tabs>
              <w:ind w:left="360" w:hanging="360"/>
              <w:rPr>
                <w:rFonts w:hint="eastAsia" w:ascii="宋体"/>
                <w:color w:val="000000"/>
                <w:szCs w:val="21"/>
              </w:rPr>
            </w:pPr>
            <w:r>
              <w:rPr>
                <w:rFonts w:hint="eastAsia" w:ascii="宋体"/>
                <w:color w:val="000000"/>
                <w:szCs w:val="21"/>
              </w:rPr>
              <w:t xml:space="preserve">造型——制芯——合箱——熔炼——浇注——保温——开箱——掏砂——打磨——检验——喷漆——入库  </w:t>
            </w:r>
          </w:p>
          <w:p>
            <w:pPr>
              <w:tabs>
                <w:tab w:val="left" w:pos="360"/>
              </w:tabs>
              <w:ind w:left="360" w:hanging="360"/>
              <w:rPr>
                <w:rFonts w:hint="eastAsia" w:ascii="宋体"/>
                <w:color w:val="000000"/>
                <w:szCs w:val="21"/>
              </w:rPr>
            </w:pPr>
            <w:r>
              <w:rPr>
                <w:rFonts w:hint="eastAsia" w:ascii="宋体"/>
                <w:color w:val="000000"/>
                <w:szCs w:val="21"/>
              </w:rPr>
              <w:t>机加工生产流程：</w:t>
            </w:r>
            <w:r>
              <w:rPr>
                <w:rFonts w:hint="eastAsia" w:ascii="宋体"/>
                <w:color w:val="000000"/>
                <w:szCs w:val="21"/>
              </w:rPr>
              <w:tab/>
            </w:r>
          </w:p>
          <w:p>
            <w:r>
              <w:rPr>
                <w:rFonts w:hint="eastAsia" w:ascii="宋体"/>
                <w:color w:val="000000"/>
                <w:szCs w:val="21"/>
              </w:rPr>
              <w:t>铸造完成——下发工作计划——按图纸机加工（镗、铣、钻、磨）——检验——出厂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1060"/>
        <w:gridCol w:w="2535"/>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30" w:type="dxa"/>
            <w:gridSpan w:val="2"/>
          </w:tcPr>
          <w:p>
            <w:r>
              <w:rPr>
                <w:rFonts w:hint="eastAsia"/>
              </w:rPr>
              <w:t>审核日期</w:t>
            </w:r>
          </w:p>
        </w:tc>
        <w:tc>
          <w:tcPr>
            <w:tcW w:w="7633" w:type="dxa"/>
            <w:gridSpan w:val="3"/>
            <w:tcMar>
              <w:left w:w="113" w:type="dxa"/>
            </w:tcMar>
          </w:tcPr>
          <w:p>
            <w:bookmarkStart w:id="15" w:name="审核日期"/>
            <w:r>
              <w:rPr>
                <w:rFonts w:hint="eastAsia"/>
              </w:rPr>
              <w:t>2022年06月14日 上午至2022年06月14日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830" w:type="dxa"/>
            <w:gridSpan w:val="2"/>
          </w:tcPr>
          <w:p>
            <w:r>
              <w:rPr>
                <w:rFonts w:hint="eastAsia"/>
              </w:rPr>
              <w:t>审核目的</w:t>
            </w:r>
          </w:p>
        </w:tc>
        <w:tc>
          <w:tcPr>
            <w:tcW w:w="7633"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830" w:type="dxa"/>
            <w:gridSpan w:val="2"/>
          </w:tcPr>
          <w:p>
            <w:r>
              <w:rPr>
                <w:rFonts w:hint="eastAsia"/>
              </w:rPr>
              <w:t>审核准则</w:t>
            </w:r>
          </w:p>
          <w:p/>
        </w:tc>
        <w:tc>
          <w:tcPr>
            <w:tcW w:w="7633"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830" w:type="dxa"/>
            <w:gridSpan w:val="2"/>
            <w:vAlign w:val="center"/>
          </w:tcPr>
          <w:p>
            <w:r>
              <w:rPr>
                <w:rFonts w:hint="eastAsia"/>
              </w:rPr>
              <w:t>审核方式</w:t>
            </w:r>
          </w:p>
        </w:tc>
        <w:tc>
          <w:tcPr>
            <w:tcW w:w="7633"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30" w:type="dxa"/>
            <w:gridSpan w:val="2"/>
          </w:tcPr>
          <w:p>
            <w:r>
              <w:rPr>
                <w:rFonts w:hint="eastAsia" w:ascii="宋体" w:hAnsi="宋体" w:cs="宋体"/>
                <w:color w:val="000000"/>
                <w:kern w:val="0"/>
                <w:szCs w:val="21"/>
              </w:rPr>
              <w:t>审核方法</w:t>
            </w:r>
          </w:p>
        </w:tc>
        <w:tc>
          <w:tcPr>
            <w:tcW w:w="7633"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30" w:type="dxa"/>
            <w:gridSpan w:val="2"/>
          </w:tcPr>
          <w:p>
            <w:r>
              <w:rPr>
                <w:rFonts w:hint="eastAsia"/>
              </w:rPr>
              <w:t>审核类型</w:t>
            </w:r>
          </w:p>
        </w:tc>
        <w:tc>
          <w:tcPr>
            <w:tcW w:w="7633"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830"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633" w:type="dxa"/>
            <w:gridSpan w:val="3"/>
            <w:tcMar>
              <w:left w:w="113" w:type="dxa"/>
            </w:tcMar>
          </w:tcPr>
          <w:p>
            <w:pPr>
              <w:rPr>
                <w:rFonts w:ascii="宋体"/>
                <w:b/>
                <w:color w:val="0000FF"/>
                <w:szCs w:val="21"/>
              </w:rPr>
            </w:pPr>
            <w:r>
              <w:rPr>
                <w:rFonts w:hint="eastAsia" w:ascii="宋体"/>
                <w:b/>
                <w:color w:val="0000FF"/>
                <w:szCs w:val="21"/>
              </w:rPr>
              <w:t>河北省邯郸市武安市工业园区泉上大道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30" w:type="dxa"/>
            <w:gridSpan w:val="2"/>
          </w:tcPr>
          <w:p>
            <w:pPr>
              <w:rPr>
                <w:rFonts w:ascii="宋体"/>
                <w:b/>
                <w:color w:val="0000FF"/>
                <w:szCs w:val="21"/>
              </w:rPr>
            </w:pPr>
            <w:r>
              <w:rPr>
                <w:rFonts w:hint="eastAsia" w:ascii="宋体"/>
                <w:b/>
                <w:color w:val="0000FF"/>
                <w:szCs w:val="21"/>
              </w:rPr>
              <w:t>远程审核方式</w:t>
            </w:r>
          </w:p>
        </w:tc>
        <w:tc>
          <w:tcPr>
            <w:tcW w:w="7633"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30" w:type="dxa"/>
            <w:gridSpan w:val="2"/>
          </w:tcPr>
          <w:p>
            <w:pPr>
              <w:rPr>
                <w:rFonts w:ascii="宋体"/>
                <w:b/>
                <w:color w:val="0000FF"/>
                <w:szCs w:val="21"/>
              </w:rPr>
            </w:pPr>
            <w:r>
              <w:rPr>
                <w:rFonts w:hint="eastAsia" w:ascii="宋体"/>
                <w:b/>
                <w:color w:val="0000FF"/>
                <w:szCs w:val="21"/>
              </w:rPr>
              <w:t>信息安全的控制</w:t>
            </w:r>
          </w:p>
        </w:tc>
        <w:tc>
          <w:tcPr>
            <w:tcW w:w="7633"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7" w:hRule="exact"/>
        </w:trPr>
        <w:tc>
          <w:tcPr>
            <w:tcW w:w="1830" w:type="dxa"/>
            <w:gridSpan w:val="2"/>
          </w:tcPr>
          <w:p>
            <w:pPr>
              <w:rPr>
                <w:rFonts w:ascii="宋体"/>
                <w:b/>
                <w:color w:val="0000FF"/>
                <w:szCs w:val="21"/>
              </w:rPr>
            </w:pPr>
            <w:r>
              <w:rPr>
                <w:rFonts w:hint="eastAsia" w:ascii="宋体"/>
                <w:b/>
                <w:color w:val="0000FF"/>
                <w:szCs w:val="21"/>
              </w:rPr>
              <w:t>远程审核资源</w:t>
            </w:r>
          </w:p>
        </w:tc>
        <w:tc>
          <w:tcPr>
            <w:tcW w:w="7633"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0" w:type="dxa"/>
            <w:vMerge w:val="restart"/>
            <w:vAlign w:val="center"/>
          </w:tcPr>
          <w:p>
            <w:pPr>
              <w:jc w:val="left"/>
              <w:rPr>
                <w:rFonts w:hint="default" w:eastAsia="宋体"/>
                <w:lang w:val="en-US" w:eastAsia="zh-CN"/>
              </w:rPr>
            </w:pPr>
            <w:r>
              <w:rPr>
                <w:rFonts w:hint="eastAsia"/>
                <w:lang w:val="en-US" w:eastAsia="zh-CN"/>
              </w:rPr>
              <w:t>审核范围</w:t>
            </w:r>
          </w:p>
        </w:tc>
        <w:tc>
          <w:tcPr>
            <w:tcW w:w="5478" w:type="dxa"/>
            <w:gridSpan w:val="3"/>
            <w:vMerge w:val="restart"/>
            <w:vAlign w:val="center"/>
          </w:tcPr>
          <w:p>
            <w:bookmarkStart w:id="29" w:name="审核范围"/>
            <w:r>
              <w:t>金属机械零件的铸造及机加工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Merge w:val="continue"/>
            <w:vAlign w:val="center"/>
          </w:tcPr>
          <w:p/>
        </w:tc>
        <w:tc>
          <w:tcPr>
            <w:tcW w:w="5478" w:type="dxa"/>
            <w:gridSpan w:val="3"/>
            <w:vMerge w:val="continue"/>
            <w:vAlign w:val="center"/>
          </w:tcPr>
          <w:p/>
        </w:tc>
        <w:tc>
          <w:tcPr>
            <w:tcW w:w="3215" w:type="dxa"/>
            <w:vAlign w:val="center"/>
          </w:tcPr>
          <w:p>
            <w:bookmarkStart w:id="30" w:name="专业代码"/>
            <w:r>
              <w:t>17.05.01;17.10.02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30" w:type="dxa"/>
            <w:gridSpan w:val="2"/>
            <w:vAlign w:val="center"/>
          </w:tcPr>
          <w:p>
            <w:r>
              <w:rPr>
                <w:rFonts w:hint="eastAsia"/>
              </w:rPr>
              <w:t>不适用ISO9001的条款</w:t>
            </w:r>
          </w:p>
        </w:tc>
        <w:tc>
          <w:tcPr>
            <w:tcW w:w="7633" w:type="dxa"/>
            <w:gridSpan w:val="3"/>
          </w:tcPr>
          <w:p>
            <w:pPr>
              <w:rPr>
                <w:rFonts w:hint="eastAsia" w:eastAsia="宋体"/>
                <w:lang w:val="en-US" w:eastAsia="zh-CN"/>
              </w:rPr>
            </w:pPr>
            <w:r>
              <w:rPr>
                <w:rFonts w:hint="eastAsia"/>
              </w:rPr>
              <w:t>8.3</w:t>
            </w:r>
            <w:r>
              <w:rPr>
                <w:rFonts w:hint="eastAsia"/>
                <w:lang w:val="en-US" w:eastAsia="zh-CN"/>
              </w:rPr>
              <w:t>条款</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30" w:type="dxa"/>
            <w:gridSpan w:val="2"/>
            <w:vAlign w:val="center"/>
          </w:tcPr>
          <w:p>
            <w:r>
              <w:rPr>
                <w:rFonts w:hint="eastAsia"/>
              </w:rPr>
              <w:t>不适用的理由（可多选）</w:t>
            </w:r>
          </w:p>
        </w:tc>
        <w:tc>
          <w:tcPr>
            <w:tcW w:w="7633"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30" w:type="dxa"/>
            <w:gridSpan w:val="2"/>
            <w:vAlign w:val="center"/>
          </w:tcPr>
          <w:p>
            <w:r>
              <w:rPr>
                <w:rFonts w:hint="eastAsia"/>
              </w:rPr>
              <w:t>体系文件实施时间</w:t>
            </w:r>
          </w:p>
        </w:tc>
        <w:tc>
          <w:tcPr>
            <w:tcW w:w="2535" w:type="dxa"/>
          </w:tcPr>
          <w:p>
            <w:r>
              <w:rPr>
                <w:rFonts w:hint="eastAsia"/>
              </w:rPr>
              <w:t>2018年8月10日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30" w:type="dxa"/>
            <w:gridSpan w:val="2"/>
            <w:vAlign w:val="center"/>
          </w:tcPr>
          <w:p>
            <w:r>
              <w:rPr>
                <w:rFonts w:hint="eastAsia"/>
              </w:rPr>
              <w:t>上次审核时间</w:t>
            </w:r>
          </w:p>
        </w:tc>
        <w:tc>
          <w:tcPr>
            <w:tcW w:w="2535"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1024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04"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04"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河北鼎润智能装备制造有限公司</w:t>
            </w:r>
          </w:p>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河北省邯郸市武安市工业园区泉上大道</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河北省邯郸市武安市工业园区泉上大道</w:t>
            </w:r>
          </w:p>
        </w:tc>
        <w:tc>
          <w:tcPr>
            <w:tcW w:w="571" w:type="dxa"/>
            <w:vAlign w:val="center"/>
          </w:tcPr>
          <w:p>
            <w:pPr>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45</w:t>
            </w:r>
          </w:p>
        </w:tc>
        <w:tc>
          <w:tcPr>
            <w:tcW w:w="2803"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金属机械零件的铸造及机加工</w:t>
            </w:r>
          </w:p>
        </w:tc>
        <w:tc>
          <w:tcPr>
            <w:tcW w:w="669" w:type="dxa"/>
            <w:vAlign w:val="center"/>
          </w:tcPr>
          <w:p>
            <w:pPr>
              <w:spacing w:before="40" w:after="40"/>
              <w:rPr>
                <w:rFonts w:ascii="Times New Roman" w:hAnsi="Times New Roman" w:eastAsia="黑体" w:cs="Times New Roman"/>
                <w:b w:val="0"/>
                <w:bCs w:val="0"/>
                <w:kern w:val="2"/>
                <w:sz w:val="21"/>
                <w:szCs w:val="21"/>
                <w:lang w:val="en-US" w:eastAsia="ja-JP" w:bidi="ar-SA"/>
              </w:rPr>
            </w:pPr>
            <w:r>
              <w:rPr>
                <w:rFonts w:hint="eastAsia" w:ascii="宋体" w:hAnsi="宋体"/>
                <w:b w:val="0"/>
                <w:bCs w:val="0"/>
                <w:color w:val="000000"/>
                <w:szCs w:val="21"/>
                <w:lang w:val="de-DE"/>
              </w:rPr>
              <w:t>GB/T19001-2016</w:t>
            </w:r>
          </w:p>
        </w:tc>
        <w:tc>
          <w:tcPr>
            <w:tcW w:w="668" w:type="dxa"/>
            <w:shd w:val="clear" w:color="auto" w:fill="FFFFFF"/>
            <w:vAlign w:val="top"/>
          </w:tcPr>
          <w:sdt>
            <w:sdtPr>
              <w:rPr>
                <w:rFonts w:eastAsia="黑体"/>
                <w:b w:val="0"/>
                <w:bCs w:val="0"/>
                <w:szCs w:val="21"/>
              </w:rPr>
              <w:id w:val="271604670"/>
            </w:sdtPr>
            <w:sdtEndPr>
              <w:rPr>
                <w:rFonts w:eastAsia="黑体"/>
                <w:b w:val="0"/>
                <w:bCs w:val="0"/>
                <w:szCs w:val="21"/>
              </w:rPr>
            </w:sdtEndPr>
            <w:sdtContent>
              <w:p>
                <w:pPr>
                  <w:rPr>
                    <w:rFonts w:eastAsia="黑体"/>
                    <w:b w:val="0"/>
                    <w:bCs w:val="0"/>
                    <w:szCs w:val="21"/>
                  </w:rPr>
                </w:pPr>
                <w:r>
                  <w:rPr>
                    <w:rFonts w:hint="eastAsia" w:ascii="宋体" w:hAnsi="宋体"/>
                    <w:b w:val="0"/>
                    <w:bCs w:val="0"/>
                    <w:color w:val="000000"/>
                    <w:spacing w:val="-10"/>
                    <w:szCs w:val="21"/>
                  </w:rPr>
                  <w:sym w:font="Wingdings 2" w:char="0052"/>
                </w:r>
              </w:p>
            </w:sdtContent>
          </w:sdt>
          <w:p>
            <w:pPr>
              <w:rPr>
                <w:rFonts w:ascii="Times New Roman" w:hAnsi="Times New Roman" w:eastAsia="黑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2019-N1QMS-2210533</w:t>
            </w:r>
          </w:p>
        </w:tc>
        <w:tc>
          <w:tcPr>
            <w:tcW w:w="2179" w:type="dxa"/>
            <w:vAlign w:val="center"/>
          </w:tcPr>
          <w:p>
            <w:r>
              <w:t>17.05.01,17.10.02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2</w:t>
            </w:r>
          </w:p>
        </w:tc>
        <w:tc>
          <w:tcPr>
            <w:tcW w:w="1717" w:type="dxa"/>
          </w:tcPr>
          <w:p/>
        </w:tc>
        <w:tc>
          <w:tcPr>
            <w:tcW w:w="1560" w:type="dxa"/>
          </w:tcPr>
          <w:p>
            <w:pPr>
              <w:jc w:val="cente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r>
        <w:rPr>
          <w:rFonts w:hint="eastAsia"/>
        </w:rPr>
        <w:t>十三、审核组推荐意见:</w:t>
      </w:r>
    </w:p>
    <w:tbl>
      <w:tblPr>
        <w:tblStyle w:val="8"/>
        <w:tblpPr w:leftFromText="180" w:rightFromText="180" w:vertAnchor="text" w:horzAnchor="page" w:tblpX="1022" w:tblpY="120"/>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804"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04"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04"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804"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04"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04"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804"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04"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04"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804"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804"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04"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04"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04"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4"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04"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804"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04"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04"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04"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154"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80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80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4005580</wp:posOffset>
                  </wp:positionH>
                  <wp:positionV relativeFrom="paragraph">
                    <wp:posOffset>-71755</wp:posOffset>
                  </wp:positionV>
                  <wp:extent cx="376555" cy="1247775"/>
                  <wp:effectExtent l="0" t="0" r="0" b="0"/>
                  <wp:wrapNone/>
                  <wp:docPr id="1"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32753" t="30653" r="52705" b="42165"/>
                          <a:stretch>
                            <a:fillRect/>
                          </a:stretch>
                        </pic:blipFill>
                        <pic:spPr>
                          <a:xfrm rot="-5100000">
                            <a:off x="0" y="0"/>
                            <a:ext cx="376555" cy="124777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740410</wp:posOffset>
                  </wp:positionH>
                  <wp:positionV relativeFrom="paragraph">
                    <wp:posOffset>-454660</wp:posOffset>
                  </wp:positionV>
                  <wp:extent cx="450215" cy="1450340"/>
                  <wp:effectExtent l="0" t="0" r="0" b="0"/>
                  <wp:wrapNone/>
                  <wp:docPr id="3"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450215" cy="14503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ind w:firstLine="1260" w:firstLineChars="600"/>
                  </w:pPr>
                </w:p>
              </w:tc>
              <w:tc>
                <w:tcPr>
                  <w:tcW w:w="7375" w:type="dxa"/>
                  <w:vAlign w:val="top"/>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highlight w:val="cyan"/>
                    </w:rPr>
                  </w:pPr>
                  <w:r>
                    <w:rPr>
                      <w:rFonts w:hint="eastAsia"/>
                    </w:rPr>
                    <w:t>重要的相关方</w:t>
                  </w:r>
                </w:p>
              </w:tc>
              <w:tc>
                <w:tcPr>
                  <w:tcW w:w="6912" w:type="dxa"/>
                  <w:vAlign w:val="top"/>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color w:val="000000"/>
                    </w:rPr>
                    <w:t>☑</w:t>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vAlign w:val="top"/>
                </w:tcPr>
                <w:p>
                  <w:pPr>
                    <w:shd w:val="clear" w:color="auto" w:fill="C7DAF1" w:themeFill="text2" w:themeFillTint="32"/>
                  </w:pPr>
                  <w:r>
                    <w:rPr>
                      <w:rFonts w:hint="eastAsia"/>
                      <w:color w:val="000000"/>
                    </w:rPr>
                    <w:t>☑</w:t>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color w:val="000000"/>
                    </w:rPr>
                    <w:t>☑</w:t>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消费者</w:t>
                  </w:r>
                </w:p>
              </w:tc>
              <w:tc>
                <w:tcPr>
                  <w:tcW w:w="6912" w:type="dxa"/>
                  <w:vAlign w:val="top"/>
                </w:tcPr>
                <w:p>
                  <w:pPr>
                    <w:shd w:val="clear" w:color="auto" w:fill="C7DAF1" w:themeFill="text2" w:themeFillTint="32"/>
                  </w:pPr>
                  <w:r>
                    <w:rPr>
                      <w:rFonts w:hint="eastAsia"/>
                      <w:color w:val="000000"/>
                      <w:lang w:eastAsia="zh-CN"/>
                    </w:rPr>
                    <w:t>□</w:t>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color w:val="000000"/>
                    </w:rPr>
                    <w:t>☑</w:t>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投资方</w:t>
                  </w:r>
                </w:p>
              </w:tc>
              <w:tc>
                <w:tcPr>
                  <w:tcW w:w="6912" w:type="dxa"/>
                  <w:vAlign w:val="top"/>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A3"/>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遵纪守法，持续改进，成就鼎润百年品牌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加强与客户进行质量标准制定的沟通，统一双方的标准和检测方法；生产部门做好生产计划的安排，保证生产计划的执行；销售部加大客户交流沟通，及时处理客户的需求和意见</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监管部门监管力度的加大，如公司执行不规范，可能存在被查处的风险</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各级部门严格按照公司的规章制度开展相关工作</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对公司影响较大的大宗原材料做好年度采购计划</w:t>
                  </w:r>
                  <w:r>
                    <w:rPr>
                      <w:rFonts w:hint="eastAsia" w:ascii="宋体" w:hAnsi="宋体" w:eastAsia="宋体" w:cs="宋体"/>
                      <w:color w:val="auto"/>
                      <w:szCs w:val="24"/>
                      <w:lang w:val="en-US" w:eastAsia="zh-CN"/>
                    </w:rPr>
                    <w:t>。</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外部不良率 1%以下</w:t>
                  </w:r>
                </w:p>
              </w:tc>
              <w:tc>
                <w:tcPr>
                  <w:tcW w:w="3136" w:type="dxa"/>
                  <w:shd w:val="clear" w:color="auto" w:fill="auto"/>
                  <w:vAlign w:val="center"/>
                </w:tcPr>
                <w:p>
                  <w:pPr>
                    <w:shd w:val="clear" w:color="auto" w:fill="C7DAF1" w:themeFill="text2" w:themeFillTint="32"/>
                    <w:rPr>
                      <w:lang w:val="en-GB"/>
                    </w:rPr>
                  </w:pPr>
                  <w:r>
                    <w:rPr>
                      <w:rFonts w:hint="eastAsia" w:ascii="宋体" w:hAnsi="宋体" w:cs="宋体"/>
                      <w:szCs w:val="21"/>
                      <w:lang w:val="en-US" w:eastAsia="zh-CN"/>
                    </w:rPr>
                    <w:t>合格数÷检验批次总数*100%</w:t>
                  </w:r>
                </w:p>
              </w:tc>
              <w:tc>
                <w:tcPr>
                  <w:tcW w:w="1350" w:type="dxa"/>
                  <w:shd w:val="clear" w:color="auto" w:fill="auto"/>
                  <w:vAlign w:val="center"/>
                </w:tcPr>
                <w:p>
                  <w:pPr>
                    <w:shd w:val="clear" w:color="auto" w:fill="C7DAF1" w:themeFill="text2" w:themeFillTint="32"/>
                    <w:rPr>
                      <w:lang w:val="en-GB"/>
                    </w:rPr>
                  </w:pPr>
                  <w:r>
                    <w:rPr>
                      <w:rFonts w:hint="eastAsia" w:ascii="宋体" w:hAnsi="宋体" w:eastAsia="宋体" w:cs="宋体"/>
                      <w:color w:val="auto"/>
                      <w:sz w:val="21"/>
                      <w:szCs w:val="21"/>
                      <w:lang w:val="en-US" w:eastAsia="zh-CN"/>
                    </w:rPr>
                    <w:t>采购部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lang w:val="en-US" w:eastAsia="zh-CN"/>
                    </w:rPr>
                    <w:t>内部不良率 3%以下</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检验准确数/检验总数*100%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auto"/>
                      <w:sz w:val="21"/>
                      <w:szCs w:val="21"/>
                      <w:lang w:val="en-US" w:eastAsia="zh-CN"/>
                    </w:rPr>
                    <w:t>品质部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lang w:val="en-US" w:eastAsia="zh-CN"/>
                    </w:rPr>
                    <w:t>产品交付及时率100%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olor w:val="auto"/>
                      <w:szCs w:val="21"/>
                      <w:lang w:val="en-US" w:eastAsia="zh-CN"/>
                    </w:rPr>
                    <w:t>及时</w:t>
                  </w:r>
                  <w:r>
                    <w:rPr>
                      <w:rFonts w:hint="eastAsia" w:ascii="宋体" w:hAnsi="宋体"/>
                      <w:color w:val="auto"/>
                      <w:szCs w:val="21"/>
                    </w:rPr>
                    <w:t>数÷</w:t>
                  </w:r>
                  <w:r>
                    <w:rPr>
                      <w:rFonts w:hint="eastAsia" w:ascii="宋体" w:hAnsi="宋体"/>
                      <w:color w:val="auto"/>
                      <w:szCs w:val="21"/>
                      <w:lang w:val="en-US" w:eastAsia="zh-CN"/>
                    </w:rPr>
                    <w:t>销售产品</w:t>
                  </w:r>
                  <w:r>
                    <w:rPr>
                      <w:rFonts w:hint="eastAsia" w:ascii="宋体" w:hAnsi="宋体"/>
                      <w:color w:val="auto"/>
                      <w:szCs w:val="21"/>
                    </w:rPr>
                    <w:t>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auto"/>
                      <w:sz w:val="21"/>
                      <w:szCs w:val="21"/>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lang w:eastAsia="zh-CN"/>
                    </w:rPr>
                    <w:t>顾客满意率</w:t>
                  </w:r>
                  <w:r>
                    <w:rPr>
                      <w:rFonts w:hint="eastAsia" w:ascii="宋体" w:hAnsi="宋体" w:eastAsia="宋体" w:cs="宋体"/>
                      <w:sz w:val="21"/>
                      <w:szCs w:val="21"/>
                      <w:lang w:val="en-US" w:eastAsia="zh-CN"/>
                    </w:rPr>
                    <w:t>95</w:t>
                  </w:r>
                  <w:r>
                    <w:rPr>
                      <w:rFonts w:hint="eastAsia" w:ascii="宋体" w:hAnsi="宋体" w:eastAsia="宋体" w:cs="宋体"/>
                      <w:sz w:val="21"/>
                      <w:szCs w:val="21"/>
                      <w:lang w:eastAsia="zh-CN"/>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auto"/>
                      <w:sz w:val="21"/>
                      <w:szCs w:val="21"/>
                    </w:rPr>
                    <w:t>满意项/调查项*100%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auto"/>
                      <w:sz w:val="21"/>
                      <w:szCs w:val="21"/>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组织应确定、提供并维护所需的基础设施情况：</w:t>
            </w:r>
          </w:p>
          <w:p>
            <w:pPr>
              <w:shd w:val="clear" w:color="auto" w:fill="C7DAF1" w:themeFill="text2" w:themeFillTint="32"/>
            </w:pPr>
            <w:r>
              <w:rPr>
                <w:rFonts w:hint="eastAsia"/>
              </w:rPr>
              <w:t>建筑面积52130.82平方米，生产车间4个，库房1个，实验室2个；</w:t>
            </w:r>
          </w:p>
          <w:p>
            <w:pPr>
              <w:shd w:val="clear" w:color="auto" w:fill="C7DAF1" w:themeFill="text2" w:themeFillTint="32"/>
              <w:rPr>
                <w:u w:val="single"/>
              </w:rPr>
            </w:pPr>
            <w:r>
              <w:rPr>
                <w:rFonts w:hint="eastAsia"/>
              </w:rPr>
              <w:t>主要生产设备有：</w:t>
            </w:r>
            <w:r>
              <w:rPr>
                <w:rFonts w:hint="eastAsia"/>
                <w:u w:val="single"/>
              </w:rPr>
              <w:t>电炉、混砂机（带砂储存罐）、自制流涂机、抛丸机、落砂机、砂粗磨设备、除尘设备、冷却塔、台式钻床、龙门动梁铣床、炮塔式铣床</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布氏硬度计、电子天平、金相显微镜、可见分光光度计、微机屏显液压万能试验机、游标卡尺、直读光谱仪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未进行定期校准/检定的有：碳硫高速分析仪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pPr>
            <w:r>
              <w:rPr>
                <w:rFonts w:hint="eastAsia"/>
              </w:rPr>
              <w:t>对国家规定持证上岗的人员资质进行了有效的管理。</w:t>
            </w:r>
          </w:p>
          <w:p>
            <w:pPr>
              <w:shd w:val="clear" w:color="auto" w:fill="C7DAF1"/>
              <w:rPr>
                <w:rFonts w:hint="default" w:eastAsia="宋体"/>
                <w:lang w:val="en-US"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叉车工</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p>
          <w:p>
            <w:pPr>
              <w:shd w:val="clear" w:color="auto" w:fill="C7DAF1"/>
            </w:pPr>
            <w:r>
              <w:rPr>
                <w:rFonts w:hint="eastAsia"/>
              </w:rPr>
              <w:t>对QMS和产品相关的运行记录进行了保留、储存、保护、检索查询、处置等管理。</w:t>
            </w:r>
          </w:p>
          <w:p>
            <w:pPr>
              <w:shd w:val="clear" w:color="auto" w:fill="C7DAF1"/>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金属机械零件的铸造</w:t>
                  </w:r>
                </w:p>
              </w:tc>
              <w:tc>
                <w:tcPr>
                  <w:tcW w:w="3665" w:type="dxa"/>
                </w:tcPr>
                <w:p>
                  <w:pPr>
                    <w:shd w:val="clear" w:color="auto" w:fill="C7DAF1" w:themeFill="text2" w:themeFillTint="32"/>
                    <w:jc w:val="left"/>
                    <w:rPr>
                      <w:highlight w:val="none"/>
                    </w:rPr>
                  </w:pPr>
                  <w:r>
                    <w:rPr>
                      <w:rFonts w:hint="eastAsia"/>
                      <w:highlight w:val="none"/>
                    </w:rPr>
                    <w:t>浇注</w:t>
                  </w:r>
                </w:p>
              </w:tc>
              <w:tc>
                <w:tcPr>
                  <w:tcW w:w="3265" w:type="dxa"/>
                </w:tcPr>
                <w:p>
                  <w:pPr>
                    <w:shd w:val="clear" w:color="auto" w:fill="C7DAF1" w:themeFill="text2" w:themeFillTint="32"/>
                    <w:jc w:val="left"/>
                    <w:rPr>
                      <w:highlight w:val="none"/>
                    </w:rPr>
                  </w:pPr>
                  <w:r>
                    <w:rPr>
                      <w:rFonts w:hint="eastAsia"/>
                      <w:highlight w:val="none"/>
                    </w:rPr>
                    <w:t>浇注温度和浇注速度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金属机械零件的铸造</w:t>
                  </w:r>
                </w:p>
              </w:tc>
              <w:tc>
                <w:tcPr>
                  <w:tcW w:w="3665" w:type="dxa"/>
                </w:tcPr>
                <w:p>
                  <w:pPr>
                    <w:shd w:val="clear" w:color="auto" w:fill="C7DAF1" w:themeFill="text2" w:themeFillTint="32"/>
                    <w:jc w:val="left"/>
                    <w:rPr>
                      <w:rFonts w:hint="eastAsia" w:eastAsia="宋体"/>
                      <w:highlight w:val="none"/>
                      <w:lang w:val="en-US" w:eastAsia="zh-CN"/>
                    </w:rPr>
                  </w:pPr>
                  <w:r>
                    <w:rPr>
                      <w:rFonts w:hint="eastAsia"/>
                      <w:highlight w:val="none"/>
                    </w:rPr>
                    <w:t>喷</w:t>
                  </w:r>
                  <w:r>
                    <w:rPr>
                      <w:rFonts w:hint="eastAsia"/>
                      <w:highlight w:val="none"/>
                      <w:lang w:val="en-US" w:eastAsia="zh-CN"/>
                    </w:rPr>
                    <w:t>漆</w:t>
                  </w:r>
                </w:p>
              </w:tc>
              <w:tc>
                <w:tcPr>
                  <w:tcW w:w="3265" w:type="dxa"/>
                </w:tcPr>
                <w:p>
                  <w:pPr>
                    <w:shd w:val="clear" w:color="auto" w:fill="C7DAF1" w:themeFill="text2" w:themeFillTint="32"/>
                    <w:jc w:val="left"/>
                    <w:rPr>
                      <w:highlight w:val="none"/>
                    </w:rPr>
                  </w:pPr>
                  <w:r>
                    <w:rPr>
                      <w:rFonts w:hint="eastAsia"/>
                      <w:highlight w:val="none"/>
                    </w:rPr>
                    <w:t>漆膜厚度、环境温度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highlight w:val="none"/>
                      <w:lang w:val="en-US" w:eastAsia="zh-CN"/>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组织应在生产和服务提供期间对输出进行必要防护，以确保符合要求。</w:t>
            </w:r>
          </w:p>
          <w:p>
            <w:pPr>
              <w:shd w:val="clear" w:color="auto" w:fill="C7DAF1"/>
            </w:pPr>
            <w:r>
              <w:rPr>
                <w:rFonts w:hint="eastAsia"/>
              </w:rPr>
              <w:t>可包括标识、处置、污染控制、包装、储存、传输或运输以及保护。</w:t>
            </w:r>
          </w:p>
          <w:p>
            <w:pPr>
              <w:shd w:val="clear" w:color="auto" w:fill="C7DAF1"/>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组织应满足与产品和服务相关的交付后活动的要求。</w:t>
            </w:r>
          </w:p>
          <w:p>
            <w:pPr>
              <w:shd w:val="clear" w:color="auto" w:fill="C7DAF1"/>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A3"/>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组织确保对不符合要求的输出进行识别和控制，以防止非预期的使用或交付。</w:t>
            </w:r>
          </w:p>
          <w:p>
            <w:pPr>
              <w:shd w:val="clear" w:color="auto" w:fill="C7DAF1"/>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通过年度策划于2021年9月9日~10日实施了质量管理体系内部审核，对质量管理体系的符合性和有效性进行了审核。内审发现的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最高管理者已按策划的时间间隔，在2021年09月30日对组织的质量管理体系进行了评审，以确保其持续的适宜性、充分性和有效性；管理评审输入、输出均按要求提供。并对提出的改进措施进行了落实。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632"/>
        <w:gridCol w:w="633"/>
        <w:gridCol w:w="633"/>
        <w:gridCol w:w="632"/>
        <w:gridCol w:w="633"/>
        <w:gridCol w:w="633"/>
        <w:gridCol w:w="632"/>
        <w:gridCol w:w="633"/>
        <w:gridCol w:w="633"/>
        <w:gridCol w:w="632"/>
        <w:gridCol w:w="63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标准条款</w:t>
            </w:r>
          </w:p>
        </w:tc>
        <w:tc>
          <w:tcPr>
            <w:tcW w:w="632" w:type="dxa"/>
            <w:vAlign w:val="center"/>
          </w:tcPr>
          <w:p>
            <w:pPr>
              <w:shd w:val="clear" w:color="auto" w:fill="C7DAF1" w:themeFill="text2" w:themeFillTint="32"/>
              <w:rPr>
                <w:lang w:eastAsia="ja-JP"/>
              </w:rPr>
            </w:pPr>
            <w:r>
              <w:rPr>
                <w:rFonts w:hint="eastAsia"/>
              </w:rPr>
              <w:t>4.1</w:t>
            </w:r>
          </w:p>
        </w:tc>
        <w:tc>
          <w:tcPr>
            <w:tcW w:w="633" w:type="dxa"/>
            <w:vAlign w:val="center"/>
          </w:tcPr>
          <w:p>
            <w:pPr>
              <w:shd w:val="clear" w:color="auto" w:fill="C7DAF1" w:themeFill="text2" w:themeFillTint="32"/>
              <w:rPr>
                <w:lang w:eastAsia="ja-JP"/>
              </w:rPr>
            </w:pPr>
            <w:r>
              <w:rPr>
                <w:rFonts w:hint="eastAsia"/>
              </w:rPr>
              <w:t>4.2</w:t>
            </w:r>
          </w:p>
        </w:tc>
        <w:tc>
          <w:tcPr>
            <w:tcW w:w="633" w:type="dxa"/>
            <w:vAlign w:val="center"/>
          </w:tcPr>
          <w:p>
            <w:pPr>
              <w:shd w:val="clear" w:color="auto" w:fill="C7DAF1" w:themeFill="text2" w:themeFillTint="32"/>
              <w:rPr>
                <w:lang w:eastAsia="ja-JP"/>
              </w:rPr>
            </w:pPr>
            <w:r>
              <w:rPr>
                <w:rFonts w:hint="eastAsia"/>
              </w:rPr>
              <w:t>4.3</w:t>
            </w:r>
          </w:p>
        </w:tc>
        <w:tc>
          <w:tcPr>
            <w:tcW w:w="632" w:type="dxa"/>
            <w:vAlign w:val="center"/>
          </w:tcPr>
          <w:p>
            <w:pPr>
              <w:shd w:val="clear" w:color="auto" w:fill="C7DAF1" w:themeFill="text2" w:themeFillTint="32"/>
              <w:rPr>
                <w:lang w:eastAsia="ja-JP"/>
              </w:rPr>
            </w:pPr>
            <w:r>
              <w:rPr>
                <w:rFonts w:hint="eastAsia"/>
              </w:rPr>
              <w:t>4.4</w:t>
            </w:r>
          </w:p>
        </w:tc>
        <w:tc>
          <w:tcPr>
            <w:tcW w:w="633" w:type="dxa"/>
            <w:vAlign w:val="center"/>
          </w:tcPr>
          <w:p>
            <w:pPr>
              <w:shd w:val="clear" w:color="auto" w:fill="C7DAF1" w:themeFill="text2" w:themeFillTint="32"/>
              <w:rPr>
                <w:lang w:eastAsia="ja-JP"/>
              </w:rPr>
            </w:pPr>
            <w:r>
              <w:rPr>
                <w:rFonts w:hint="eastAsia"/>
              </w:rPr>
              <w:t>5.1</w:t>
            </w:r>
          </w:p>
        </w:tc>
        <w:tc>
          <w:tcPr>
            <w:tcW w:w="633" w:type="dxa"/>
            <w:vAlign w:val="center"/>
          </w:tcPr>
          <w:p>
            <w:pPr>
              <w:shd w:val="clear" w:color="auto" w:fill="C7DAF1" w:themeFill="text2" w:themeFillTint="32"/>
              <w:rPr>
                <w:lang w:eastAsia="ja-JP"/>
              </w:rPr>
            </w:pPr>
            <w:r>
              <w:rPr>
                <w:rFonts w:hint="eastAsia"/>
              </w:rPr>
              <w:t>5.2</w:t>
            </w:r>
          </w:p>
        </w:tc>
        <w:tc>
          <w:tcPr>
            <w:tcW w:w="632" w:type="dxa"/>
            <w:vAlign w:val="center"/>
          </w:tcPr>
          <w:p>
            <w:pPr>
              <w:shd w:val="clear" w:color="auto" w:fill="C7DAF1" w:themeFill="text2" w:themeFillTint="32"/>
              <w:rPr>
                <w:lang w:eastAsia="ja-JP"/>
              </w:rPr>
            </w:pPr>
            <w:r>
              <w:rPr>
                <w:rFonts w:hint="eastAsia"/>
              </w:rPr>
              <w:t>5.3</w:t>
            </w:r>
          </w:p>
        </w:tc>
        <w:tc>
          <w:tcPr>
            <w:tcW w:w="633" w:type="dxa"/>
            <w:vAlign w:val="center"/>
          </w:tcPr>
          <w:p>
            <w:pPr>
              <w:shd w:val="clear" w:color="auto" w:fill="C7DAF1" w:themeFill="text2" w:themeFillTint="32"/>
              <w:rPr>
                <w:lang w:eastAsia="ja-JP"/>
              </w:rPr>
            </w:pPr>
            <w:r>
              <w:rPr>
                <w:rFonts w:hint="eastAsia"/>
              </w:rPr>
              <w:t>6.1</w:t>
            </w:r>
          </w:p>
        </w:tc>
        <w:tc>
          <w:tcPr>
            <w:tcW w:w="633" w:type="dxa"/>
            <w:vAlign w:val="center"/>
          </w:tcPr>
          <w:p>
            <w:pPr>
              <w:shd w:val="clear" w:color="auto" w:fill="C7DAF1" w:themeFill="text2" w:themeFillTint="32"/>
              <w:rPr>
                <w:lang w:eastAsia="ja-JP"/>
              </w:rPr>
            </w:pPr>
            <w:r>
              <w:rPr>
                <w:rFonts w:hint="eastAsia"/>
              </w:rPr>
              <w:t>6.2</w:t>
            </w:r>
          </w:p>
        </w:tc>
        <w:tc>
          <w:tcPr>
            <w:tcW w:w="632" w:type="dxa"/>
            <w:vAlign w:val="center"/>
          </w:tcPr>
          <w:p>
            <w:pPr>
              <w:shd w:val="clear" w:color="auto" w:fill="C7DAF1" w:themeFill="text2" w:themeFillTint="32"/>
              <w:rPr>
                <w:lang w:eastAsia="ja-JP"/>
              </w:rPr>
            </w:pPr>
            <w:r>
              <w:rPr>
                <w:rFonts w:hint="eastAsia"/>
              </w:rPr>
              <w:t>6.3</w:t>
            </w:r>
          </w:p>
        </w:tc>
        <w:tc>
          <w:tcPr>
            <w:tcW w:w="633" w:type="dxa"/>
            <w:shd w:val="clear" w:color="auto" w:fill="BFBFBF"/>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评价*)</w:t>
            </w:r>
          </w:p>
        </w:tc>
        <w:tc>
          <w:tcPr>
            <w:tcW w:w="63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shd w:val="clear" w:color="auto" w:fill="BFBFBF"/>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pPr>
            <w:r>
              <w:rPr>
                <w:rFonts w:hint="eastAsia"/>
              </w:rPr>
              <w:t>不符合数量</w:t>
            </w: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vAlign w:val="center"/>
          </w:tcPr>
          <w:p>
            <w:pPr>
              <w:shd w:val="clear" w:color="auto" w:fill="C7DAF1" w:themeFill="text2" w:themeFillTint="32"/>
              <w:rPr>
                <w:lang w:eastAsia="ja-JP"/>
              </w:rPr>
            </w:pPr>
          </w:p>
        </w:tc>
        <w:tc>
          <w:tcPr>
            <w:tcW w:w="633" w:type="dxa"/>
            <w:shd w:val="clear" w:color="auto" w:fill="BFBFBF"/>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标准条款</w:t>
            </w:r>
          </w:p>
        </w:tc>
        <w:tc>
          <w:tcPr>
            <w:tcW w:w="632" w:type="dxa"/>
            <w:vAlign w:val="center"/>
          </w:tcPr>
          <w:p>
            <w:pPr>
              <w:shd w:val="clear" w:color="auto" w:fill="C7DAF1" w:themeFill="text2" w:themeFillTint="32"/>
              <w:rPr>
                <w:lang w:eastAsia="ja-JP"/>
              </w:rPr>
            </w:pPr>
            <w:r>
              <w:rPr>
                <w:rFonts w:hint="eastAsia"/>
              </w:rPr>
              <w:t>7.1</w:t>
            </w:r>
          </w:p>
        </w:tc>
        <w:tc>
          <w:tcPr>
            <w:tcW w:w="633" w:type="dxa"/>
            <w:vAlign w:val="center"/>
          </w:tcPr>
          <w:p>
            <w:pPr>
              <w:shd w:val="clear" w:color="auto" w:fill="C7DAF1" w:themeFill="text2" w:themeFillTint="32"/>
              <w:rPr>
                <w:lang w:eastAsia="ja-JP"/>
              </w:rPr>
            </w:pPr>
            <w:r>
              <w:rPr>
                <w:rFonts w:hint="eastAsia"/>
              </w:rPr>
              <w:t>7.2</w:t>
            </w:r>
          </w:p>
        </w:tc>
        <w:tc>
          <w:tcPr>
            <w:tcW w:w="633" w:type="dxa"/>
            <w:vAlign w:val="center"/>
          </w:tcPr>
          <w:p>
            <w:pPr>
              <w:shd w:val="clear" w:color="auto" w:fill="C7DAF1" w:themeFill="text2" w:themeFillTint="32"/>
              <w:rPr>
                <w:lang w:eastAsia="ja-JP"/>
              </w:rPr>
            </w:pPr>
            <w:r>
              <w:rPr>
                <w:rFonts w:hint="eastAsia"/>
              </w:rPr>
              <w:t>7.3</w:t>
            </w:r>
          </w:p>
        </w:tc>
        <w:tc>
          <w:tcPr>
            <w:tcW w:w="632" w:type="dxa"/>
            <w:vAlign w:val="center"/>
          </w:tcPr>
          <w:p>
            <w:pPr>
              <w:shd w:val="clear" w:color="auto" w:fill="C7DAF1" w:themeFill="text2" w:themeFillTint="32"/>
              <w:rPr>
                <w:lang w:eastAsia="ja-JP"/>
              </w:rPr>
            </w:pPr>
            <w:r>
              <w:rPr>
                <w:rFonts w:hint="eastAsia"/>
              </w:rPr>
              <w:t>7.4</w:t>
            </w:r>
          </w:p>
        </w:tc>
        <w:tc>
          <w:tcPr>
            <w:tcW w:w="633" w:type="dxa"/>
            <w:vAlign w:val="center"/>
          </w:tcPr>
          <w:p>
            <w:pPr>
              <w:shd w:val="clear" w:color="auto" w:fill="C7DAF1" w:themeFill="text2" w:themeFillTint="32"/>
              <w:rPr>
                <w:lang w:eastAsia="ja-JP"/>
              </w:rPr>
            </w:pPr>
            <w:r>
              <w:rPr>
                <w:rFonts w:hint="eastAsia"/>
              </w:rPr>
              <w:t>7.5</w:t>
            </w:r>
          </w:p>
        </w:tc>
        <w:tc>
          <w:tcPr>
            <w:tcW w:w="633" w:type="dxa"/>
            <w:vAlign w:val="center"/>
          </w:tcPr>
          <w:p>
            <w:pPr>
              <w:shd w:val="clear" w:color="auto" w:fill="C7DAF1" w:themeFill="text2" w:themeFillTint="32"/>
              <w:rPr>
                <w:lang w:eastAsia="ja-JP"/>
              </w:rPr>
            </w:pPr>
            <w:r>
              <w:rPr>
                <w:rFonts w:hint="eastAsia"/>
              </w:rPr>
              <w:t>8.1</w:t>
            </w:r>
          </w:p>
        </w:tc>
        <w:tc>
          <w:tcPr>
            <w:tcW w:w="632" w:type="dxa"/>
            <w:vAlign w:val="center"/>
          </w:tcPr>
          <w:p>
            <w:pPr>
              <w:shd w:val="clear" w:color="auto" w:fill="C7DAF1" w:themeFill="text2" w:themeFillTint="32"/>
              <w:rPr>
                <w:lang w:eastAsia="ja-JP"/>
              </w:rPr>
            </w:pPr>
            <w:r>
              <w:rPr>
                <w:rFonts w:hint="eastAsia"/>
              </w:rPr>
              <w:t>8.2</w:t>
            </w:r>
          </w:p>
        </w:tc>
        <w:tc>
          <w:tcPr>
            <w:tcW w:w="633" w:type="dxa"/>
            <w:vAlign w:val="center"/>
          </w:tcPr>
          <w:p>
            <w:pPr>
              <w:shd w:val="clear" w:color="auto" w:fill="C7DAF1" w:themeFill="text2" w:themeFillTint="32"/>
              <w:rPr>
                <w:lang w:eastAsia="ja-JP"/>
              </w:rPr>
            </w:pPr>
            <w:r>
              <w:rPr>
                <w:rFonts w:hint="eastAsia"/>
              </w:rPr>
              <w:t>8.3</w:t>
            </w:r>
          </w:p>
        </w:tc>
        <w:tc>
          <w:tcPr>
            <w:tcW w:w="633" w:type="dxa"/>
            <w:vAlign w:val="center"/>
          </w:tcPr>
          <w:p>
            <w:pPr>
              <w:shd w:val="clear" w:color="auto" w:fill="C7DAF1" w:themeFill="text2" w:themeFillTint="32"/>
              <w:rPr>
                <w:lang w:eastAsia="ja-JP"/>
              </w:rPr>
            </w:pPr>
            <w:r>
              <w:rPr>
                <w:rFonts w:hint="eastAsia"/>
              </w:rPr>
              <w:t>8.4</w:t>
            </w:r>
          </w:p>
        </w:tc>
        <w:tc>
          <w:tcPr>
            <w:tcW w:w="632" w:type="dxa"/>
            <w:vAlign w:val="center"/>
          </w:tcPr>
          <w:p>
            <w:pPr>
              <w:shd w:val="clear" w:color="auto" w:fill="C7DAF1" w:themeFill="text2" w:themeFillTint="32"/>
              <w:rPr>
                <w:lang w:eastAsia="ja-JP"/>
              </w:rPr>
            </w:pPr>
            <w:r>
              <w:rPr>
                <w:rFonts w:hint="eastAsia"/>
              </w:rPr>
              <w:t>8.5</w:t>
            </w:r>
          </w:p>
        </w:tc>
        <w:tc>
          <w:tcPr>
            <w:tcW w:w="633" w:type="dxa"/>
            <w:vAlign w:val="center"/>
          </w:tcPr>
          <w:p>
            <w:pPr>
              <w:shd w:val="clear" w:color="auto" w:fill="C7DAF1" w:themeFill="text2" w:themeFillTint="32"/>
              <w:rPr>
                <w:lang w:eastAsia="ja-JP"/>
              </w:rPr>
            </w:pPr>
            <w:r>
              <w:rPr>
                <w:rFonts w:hint="eastAsia"/>
              </w:rPr>
              <w:t>8.6</w:t>
            </w:r>
          </w:p>
        </w:tc>
        <w:tc>
          <w:tcPr>
            <w:tcW w:w="633"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评价*)</w:t>
            </w:r>
          </w:p>
        </w:tc>
        <w:tc>
          <w:tcPr>
            <w:tcW w:w="632" w:type="dxa"/>
            <w:vAlign w:val="center"/>
          </w:tcPr>
          <w:p>
            <w:pPr>
              <w:shd w:val="clear" w:color="auto" w:fill="C7DAF1" w:themeFill="text2" w:themeFillTint="32"/>
              <w:rPr>
                <w:lang w:eastAsia="ja-JP"/>
              </w:rPr>
            </w:pPr>
            <w:r>
              <w:rPr>
                <w:rFonts w:hint="eastAsia"/>
                <w:lang w:val="en-US" w:eastAsia="zh-CN"/>
              </w:rPr>
              <w:t>3</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rPr>
              <w:t>不符合数量</w:t>
            </w:r>
          </w:p>
        </w:tc>
        <w:tc>
          <w:tcPr>
            <w:tcW w:w="63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tcBorders>
              <w:bottom w:val="single" w:color="auto" w:sz="4" w:space="0"/>
            </w:tcBorders>
            <w:vAlign w:val="center"/>
          </w:tcPr>
          <w:p>
            <w:pPr>
              <w:shd w:val="clear" w:color="auto" w:fill="C7DAF1" w:themeFill="text2" w:themeFillTint="32"/>
              <w:rPr>
                <w:lang w:eastAsia="ja-JP"/>
              </w:rPr>
            </w:pPr>
          </w:p>
        </w:tc>
        <w:tc>
          <w:tcPr>
            <w:tcW w:w="633" w:type="dxa"/>
            <w:tcBorders>
              <w:bottom w:val="single" w:color="auto" w:sz="4" w:space="0"/>
            </w:tcBorders>
            <w:vAlign w:val="center"/>
          </w:tcPr>
          <w:p>
            <w:pPr>
              <w:shd w:val="clear" w:color="auto" w:fill="C7DAF1" w:themeFill="text2" w:themeFillTint="32"/>
              <w:rPr>
                <w:lang w:eastAsia="ja-JP"/>
              </w:rPr>
            </w:pPr>
          </w:p>
        </w:tc>
        <w:tc>
          <w:tcPr>
            <w:tcW w:w="633"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2" w:type="dxa"/>
            <w:tcBorders>
              <w:bottom w:val="single" w:color="auto" w:sz="4" w:space="0"/>
            </w:tcBorders>
            <w:vAlign w:val="center"/>
          </w:tcPr>
          <w:p>
            <w:pPr>
              <w:shd w:val="clear" w:color="auto" w:fill="C7DAF1" w:themeFill="text2" w:themeFillTint="32"/>
              <w:rPr>
                <w:lang w:eastAsia="ja-JP"/>
              </w:rPr>
            </w:pPr>
          </w:p>
        </w:tc>
        <w:tc>
          <w:tcPr>
            <w:tcW w:w="633" w:type="dxa"/>
            <w:tcBorders>
              <w:bottom w:val="single" w:color="auto" w:sz="4" w:space="0"/>
            </w:tcBorders>
            <w:vAlign w:val="center"/>
          </w:tcPr>
          <w:p>
            <w:pPr>
              <w:shd w:val="clear" w:color="auto" w:fill="C7DAF1" w:themeFill="text2" w:themeFillTint="32"/>
              <w:rPr>
                <w:lang w:eastAsia="ja-JP"/>
              </w:rPr>
            </w:pPr>
          </w:p>
        </w:tc>
        <w:tc>
          <w:tcPr>
            <w:tcW w:w="633"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标准条款</w:t>
            </w:r>
          </w:p>
        </w:tc>
        <w:tc>
          <w:tcPr>
            <w:tcW w:w="632" w:type="dxa"/>
            <w:vAlign w:val="center"/>
          </w:tcPr>
          <w:p>
            <w:pPr>
              <w:shd w:val="clear" w:color="auto" w:fill="C7DAF1" w:themeFill="text2" w:themeFillTint="32"/>
              <w:rPr>
                <w:lang w:eastAsia="ja-JP"/>
              </w:rPr>
            </w:pPr>
            <w:r>
              <w:rPr>
                <w:rFonts w:hint="eastAsia"/>
              </w:rPr>
              <w:t>9.1</w:t>
            </w:r>
          </w:p>
        </w:tc>
        <w:tc>
          <w:tcPr>
            <w:tcW w:w="633" w:type="dxa"/>
            <w:vAlign w:val="center"/>
          </w:tcPr>
          <w:p>
            <w:pPr>
              <w:shd w:val="clear" w:color="auto" w:fill="C7DAF1" w:themeFill="text2" w:themeFillTint="32"/>
              <w:rPr>
                <w:lang w:eastAsia="ja-JP"/>
              </w:rPr>
            </w:pPr>
            <w:r>
              <w:rPr>
                <w:rFonts w:hint="eastAsia"/>
              </w:rPr>
              <w:t>9.2</w:t>
            </w:r>
          </w:p>
        </w:tc>
        <w:tc>
          <w:tcPr>
            <w:tcW w:w="633" w:type="dxa"/>
            <w:vAlign w:val="center"/>
          </w:tcPr>
          <w:p>
            <w:pPr>
              <w:shd w:val="clear" w:color="auto" w:fill="C7DAF1" w:themeFill="text2" w:themeFillTint="32"/>
              <w:rPr>
                <w:lang w:eastAsia="ja-JP"/>
              </w:rPr>
            </w:pPr>
            <w:r>
              <w:rPr>
                <w:rFonts w:hint="eastAsia"/>
              </w:rPr>
              <w:t>9.3</w:t>
            </w:r>
          </w:p>
        </w:tc>
        <w:tc>
          <w:tcPr>
            <w:tcW w:w="632" w:type="dxa"/>
            <w:vAlign w:val="center"/>
          </w:tcPr>
          <w:p>
            <w:pPr>
              <w:shd w:val="clear" w:color="auto" w:fill="C7DAF1" w:themeFill="text2" w:themeFillTint="32"/>
              <w:rPr>
                <w:lang w:eastAsia="ja-JP"/>
              </w:rPr>
            </w:pPr>
            <w:r>
              <w:rPr>
                <w:rFonts w:hint="eastAsia"/>
              </w:rPr>
              <w:t>10.1</w:t>
            </w:r>
          </w:p>
        </w:tc>
        <w:tc>
          <w:tcPr>
            <w:tcW w:w="633" w:type="dxa"/>
            <w:vAlign w:val="center"/>
          </w:tcPr>
          <w:p>
            <w:pPr>
              <w:shd w:val="clear" w:color="auto" w:fill="C7DAF1" w:themeFill="text2" w:themeFillTint="32"/>
              <w:rPr>
                <w:lang w:eastAsia="ja-JP"/>
              </w:rPr>
            </w:pPr>
            <w:r>
              <w:rPr>
                <w:rFonts w:hint="eastAsia"/>
              </w:rPr>
              <w:t>10.2</w:t>
            </w:r>
          </w:p>
        </w:tc>
        <w:tc>
          <w:tcPr>
            <w:tcW w:w="633" w:type="dxa"/>
            <w:vAlign w:val="center"/>
          </w:tcPr>
          <w:p>
            <w:pPr>
              <w:shd w:val="clear" w:color="auto" w:fill="C7DAF1" w:themeFill="text2" w:themeFillTint="32"/>
              <w:rPr>
                <w:lang w:eastAsia="ja-JP"/>
              </w:rPr>
            </w:pPr>
            <w:r>
              <w:rPr>
                <w:rFonts w:hint="eastAsia"/>
              </w:rPr>
              <w:t>10.3</w:t>
            </w: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47" w:type="dxa"/>
            <w:vAlign w:val="center"/>
          </w:tcPr>
          <w:p>
            <w:pPr>
              <w:shd w:val="clear" w:color="auto" w:fill="C7DAF1" w:themeFill="text2" w:themeFillTint="32"/>
              <w:rPr>
                <w:lang w:eastAsia="ja-JP"/>
              </w:rPr>
            </w:pPr>
            <w:r>
              <w:rPr>
                <w:rFonts w:hint="eastAsia"/>
                <w:lang w:val="en-GB"/>
              </w:rPr>
              <w:t>评价*)</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3" w:type="dxa"/>
            <w:vAlign w:val="center"/>
          </w:tcPr>
          <w:p>
            <w:pPr>
              <w:shd w:val="clear" w:color="auto" w:fill="C7DAF1" w:themeFill="text2" w:themeFillTint="32"/>
              <w:rPr>
                <w:lang w:eastAsia="ja-JP"/>
              </w:rPr>
            </w:pPr>
            <w:r>
              <w:rPr>
                <w:rFonts w:hint="eastAsia"/>
                <w:lang w:val="en-US" w:eastAsia="zh-CN"/>
              </w:rPr>
              <w:t>1</w:t>
            </w: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347" w:type="dxa"/>
            <w:vAlign w:val="center"/>
          </w:tcPr>
          <w:p>
            <w:pPr>
              <w:shd w:val="clear" w:color="auto" w:fill="C7DAF1" w:themeFill="text2" w:themeFillTint="32"/>
              <w:rPr>
                <w:lang w:eastAsia="ja-JP"/>
              </w:rPr>
            </w:pPr>
            <w:r>
              <w:rPr>
                <w:rFonts w:hint="eastAsia"/>
              </w:rPr>
              <w:t>不符合数量</w:t>
            </w: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2"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lang w:val="en-US" w:eastAsia="zh-CN"/>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vVAYc8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1E47660"/>
    <w:rsid w:val="029F6623"/>
    <w:rsid w:val="0D2B0332"/>
    <w:rsid w:val="0FFA779D"/>
    <w:rsid w:val="1E4463F9"/>
    <w:rsid w:val="25CE10A1"/>
    <w:rsid w:val="32326D14"/>
    <w:rsid w:val="40E02869"/>
    <w:rsid w:val="545A03E8"/>
    <w:rsid w:val="552837D2"/>
    <w:rsid w:val="5BF22E13"/>
    <w:rsid w:val="6DE83A0E"/>
    <w:rsid w:val="6EB17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23</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2022-06-28T19:31:12Z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5B32EA51B8854E6FB0135B1FD37D154B</vt:lpwstr>
  </property>
  <property fmtid="{D5CDD505-2E9C-101B-9397-08002B2CF9AE}" pid="3" name="KSOProductBuildVer">
    <vt:lpwstr>2052-11.1.0.11830</vt:lpwstr>
  </property>
</Properties>
</file>