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0712-2022-EO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重庆港迅电梯工程有限公司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2022年06月10日 上午至2022年06月10日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vAlign w:val="top"/>
          </w:tcPr>
          <w:p>
            <w:pPr>
              <w:rPr>
                <w:color w:val="auto"/>
              </w:rPr>
            </w:pPr>
            <w:r>
              <w:rPr>
                <w:color w:val="auto"/>
                <w:sz w:val="21"/>
                <w:szCs w:val="21"/>
              </w:rPr>
              <w:t>重庆市九龙坡区科城路恒基雍翠名门C1栋14-10</w:t>
            </w: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140" w:type="dxa"/>
            <w:vAlign w:val="center"/>
          </w:tcPr>
          <w:p>
            <w:pPr>
              <w:spacing w:line="240" w:lineRule="exact"/>
              <w:jc w:val="center"/>
              <w:rPr>
                <w:b/>
                <w:color w:val="000000"/>
                <w:szCs w:val="21"/>
              </w:rPr>
            </w:pPr>
            <w:r>
              <w:rPr>
                <w:b/>
                <w:color w:val="000000"/>
                <w:szCs w:val="21"/>
              </w:rPr>
              <w:t>E:28.07.03</w:t>
            </w:r>
          </w:p>
          <w:p>
            <w:pPr>
              <w:spacing w:line="240" w:lineRule="exact"/>
              <w:jc w:val="center"/>
              <w:rPr>
                <w:b/>
                <w:color w:val="000000"/>
                <w:szCs w:val="21"/>
              </w:rPr>
            </w:pPr>
            <w:r>
              <w:rPr>
                <w:b/>
                <w:color w:val="000000"/>
                <w:szCs w:val="21"/>
              </w:rPr>
              <w:t>O:28.07.03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重庆港迅电梯工程有限公司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重庆市九龙坡区朝阳路104号2幢9-1号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400039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重庆市九龙坡区科城路恒基雍翠名门C1栋14-10</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400039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徐文兰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18908331809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徐文兰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ascii="宋体" w:hAnsi="宋体"/>
                <w:b/>
                <w:color w:val="000000"/>
                <w:szCs w:val="21"/>
              </w:rPr>
            </w:pPr>
            <w:r>
              <w:rPr>
                <w:rFonts w:hint="eastAsia" w:ascii="宋体" w:hAnsi="宋体"/>
                <w:b/>
                <w:color w:val="000000"/>
                <w:szCs w:val="21"/>
              </w:rPr>
              <w:t>服务：</w:t>
            </w:r>
            <w:r>
              <w:t>电梯安装、修理（资质范围内）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电梯安装：安全交底→技术交底→开箱检查→安装（机房设备安装、拼装轿厢、限速器安装）→中期检验→安装（导轨安装、层门安装）→快车调式→验收移交</w:t>
            </w:r>
            <w:r>
              <w:rPr>
                <w:rFonts w:hint="eastAsia" w:asciiTheme="minorEastAsia" w:hAnsiTheme="minorEastAsia" w:eastAsiaTheme="minorEastAsia"/>
                <w:bCs/>
                <w:szCs w:val="21"/>
                <w:lang w:eastAsia="zh-CN"/>
              </w:rPr>
              <w:t>。</w:t>
            </w:r>
          </w:p>
          <w:p>
            <w:pPr>
              <w:rPr>
                <w:rFonts w:ascii="宋体" w:hAnsi="宋体"/>
                <w:b/>
                <w:color w:val="000000"/>
                <w:szCs w:val="21"/>
              </w:rPr>
            </w:pPr>
            <w:r>
              <w:rPr>
                <w:rFonts w:hint="eastAsia" w:cs="Times New Roman" w:asciiTheme="minorEastAsia" w:hAnsiTheme="minorEastAsia" w:eastAsiaTheme="minorEastAsia"/>
                <w:bCs/>
                <w:szCs w:val="21"/>
              </w:rPr>
              <w:t>维</w:t>
            </w:r>
            <w:r>
              <w:rPr>
                <w:rFonts w:hint="eastAsia" w:cs="Times New Roman" w:asciiTheme="minorEastAsia" w:hAnsiTheme="minorEastAsia" w:eastAsiaTheme="minorEastAsia"/>
                <w:bCs/>
                <w:szCs w:val="21"/>
                <w:lang w:val="en-US" w:eastAsia="zh-CN"/>
              </w:rPr>
              <w:t>修</w:t>
            </w:r>
            <w:r>
              <w:rPr>
                <w:rFonts w:hint="eastAsia" w:cs="Times New Roman" w:asciiTheme="minorEastAsia" w:hAnsiTheme="minorEastAsia" w:eastAsiaTheme="minorEastAsia"/>
                <w:bCs/>
                <w:szCs w:val="21"/>
              </w:rPr>
              <w:t>流程：</w:t>
            </w:r>
            <w:r>
              <w:rPr>
                <w:rFonts w:hint="eastAsia" w:cs="Times New Roman" w:asciiTheme="minorEastAsia" w:hAnsiTheme="minorEastAsia" w:eastAsiaTheme="minorEastAsia"/>
                <w:bCs/>
                <w:szCs w:val="21"/>
                <w:lang w:val="en-US" w:eastAsia="zh-CN"/>
              </w:rPr>
              <w:t>签订合同——核查——拟定维修计划——按计划维修</w:t>
            </w:r>
            <w:r>
              <w:rPr>
                <w:rFonts w:hint="eastAsia" w:cs="Times New Roman" w:asciiTheme="minorEastAsia" w:hAnsiTheme="minorEastAsia" w:eastAsiaTheme="minorEastAsia"/>
                <w:bCs/>
                <w:szCs w:val="21"/>
                <w:lang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电梯安装、修理（资质范围内）所涉及场所的相关环境管理活动</w:t>
            </w:r>
          </w:p>
        </w:tc>
        <w:tc>
          <w:tcPr>
            <w:tcW w:w="2006" w:type="dxa"/>
            <w:gridSpan w:val="3"/>
            <w:vAlign w:val="center"/>
          </w:tcPr>
          <w:p>
            <w:pPr>
              <w:spacing w:line="400" w:lineRule="exact"/>
              <w:rPr>
                <w:rFonts w:ascii="宋体" w:hAnsi="宋体"/>
                <w:b/>
                <w:color w:val="000000"/>
                <w:szCs w:val="21"/>
              </w:rPr>
            </w:pPr>
            <w:r>
              <w:t>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电梯安装、修理（资质范围内）所涉及场所的相关职业健康安全管理活动</w:t>
            </w:r>
          </w:p>
        </w:tc>
        <w:tc>
          <w:tcPr>
            <w:tcW w:w="2006" w:type="dxa"/>
            <w:gridSpan w:val="3"/>
            <w:vAlign w:val="center"/>
          </w:tcPr>
          <w:p>
            <w:pPr>
              <w:spacing w:line="400" w:lineRule="exact"/>
              <w:rPr>
                <w:rFonts w:ascii="宋体" w:hAnsi="宋体"/>
                <w:b/>
                <w:color w:val="000000"/>
                <w:szCs w:val="21"/>
              </w:rPr>
            </w:pPr>
            <w:r>
              <w:t>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66"/>
        <w:gridCol w:w="12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0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重庆港迅电梯工程有限公司</w:t>
            </w:r>
            <w:r>
              <w:rPr>
                <w:rFonts w:hint="eastAsia"/>
                <w:sz w:val="21"/>
                <w:szCs w:val="21"/>
                <w:lang w:val="en-US" w:eastAsia="zh-CN"/>
              </w:rPr>
              <w:t>/</w:t>
            </w:r>
            <w:r>
              <w:rPr>
                <w:sz w:val="21"/>
                <w:szCs w:val="21"/>
              </w:rPr>
              <w:t>重庆市九龙坡区朝阳路104号2幢9-1号</w:t>
            </w:r>
          </w:p>
        </w:tc>
        <w:tc>
          <w:tcPr>
            <w:tcW w:w="2267" w:type="dxa"/>
          </w:tcPr>
          <w:p>
            <w:pPr>
              <w:spacing w:before="40" w:after="40"/>
              <w:rPr>
                <w:rFonts w:hint="eastAsia" w:eastAsia="宋体"/>
                <w:szCs w:val="21"/>
                <w:lang w:val="en-US" w:eastAsia="zh-CN"/>
              </w:rPr>
            </w:pPr>
            <w:r>
              <w:rPr>
                <w:sz w:val="21"/>
                <w:szCs w:val="21"/>
              </w:rPr>
              <w:t>重庆市九龙坡区科城路恒基雍翠名门C1栋14-10</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266" w:type="dxa"/>
            <w:vAlign w:val="top"/>
          </w:tcPr>
          <w:p>
            <w:pPr>
              <w:widowControl/>
              <w:jc w:val="both"/>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E：</w:t>
            </w:r>
            <w:r>
              <w:t>电梯安装、修理（资质范围内）所涉及场所的相关环境管理活动</w:t>
            </w:r>
          </w:p>
          <w:p>
            <w:pPr>
              <w:pStyle w:val="20"/>
              <w:jc w:val="both"/>
              <w:rPr>
                <w:rFonts w:eastAsia="黑体" w:cs="Arial"/>
                <w:sz w:val="21"/>
                <w:szCs w:val="21"/>
                <w:lang w:val="en-US" w:eastAsia="ja-JP"/>
              </w:rPr>
            </w:pPr>
            <w:r>
              <w:rPr>
                <w:rFonts w:hint="eastAsia" w:cs="宋体" w:asciiTheme="minorEastAsia" w:hAnsiTheme="minorEastAsia" w:eastAsiaTheme="minorEastAsia"/>
                <w:color w:val="000000"/>
                <w:kern w:val="0"/>
                <w:szCs w:val="21"/>
              </w:rPr>
              <w:t>O：</w:t>
            </w:r>
            <w:r>
              <w:t>电梯安装、修理（资质范围内）所涉及场所的相关职业健康安全管理活动</w:t>
            </w:r>
          </w:p>
        </w:tc>
        <w:tc>
          <w:tcPr>
            <w:tcW w:w="1206" w:type="dxa"/>
            <w:vAlign w:val="center"/>
          </w:tcPr>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6" w:type="dxa"/>
            <w:vAlign w:val="center"/>
          </w:tcPr>
          <w:p>
            <w:pPr>
              <w:spacing w:before="40" w:after="40"/>
              <w:rPr>
                <w:rFonts w:eastAsia="黑体"/>
                <w:szCs w:val="21"/>
                <w:lang w:eastAsia="ja-JP"/>
              </w:rPr>
            </w:pPr>
          </w:p>
        </w:tc>
        <w:tc>
          <w:tcPr>
            <w:tcW w:w="120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6" w:type="dxa"/>
            <w:vAlign w:val="center"/>
          </w:tcPr>
          <w:p>
            <w:pPr>
              <w:spacing w:before="40" w:after="40"/>
              <w:rPr>
                <w:rFonts w:eastAsia="黑体"/>
                <w:szCs w:val="21"/>
                <w:lang w:eastAsia="ja-JP"/>
              </w:rPr>
            </w:pPr>
          </w:p>
        </w:tc>
        <w:tc>
          <w:tcPr>
            <w:tcW w:w="120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6" w:type="dxa"/>
            <w:vAlign w:val="center"/>
          </w:tcPr>
          <w:p>
            <w:pPr>
              <w:spacing w:before="40" w:after="40"/>
              <w:rPr>
                <w:rFonts w:eastAsia="黑体"/>
                <w:szCs w:val="21"/>
                <w:lang w:eastAsia="ja-JP"/>
              </w:rPr>
            </w:pPr>
          </w:p>
        </w:tc>
        <w:tc>
          <w:tcPr>
            <w:tcW w:w="120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66" w:type="dxa"/>
            <w:vAlign w:val="center"/>
          </w:tcPr>
          <w:p>
            <w:pPr>
              <w:spacing w:before="40" w:after="40"/>
              <w:rPr>
                <w:rFonts w:eastAsia="黑体"/>
                <w:szCs w:val="21"/>
                <w:lang w:eastAsia="ja-JP"/>
              </w:rPr>
            </w:pPr>
          </w:p>
        </w:tc>
        <w:tc>
          <w:tcPr>
            <w:tcW w:w="120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营业执照</w:t>
            </w: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营业执照范围是否包括了认证范围</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rPr>
              <w:t>生产许可证是否有效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color w:val="000000"/>
                <w:sz w:val="21"/>
                <w:szCs w:val="21"/>
              </w:rPr>
            </w:pPr>
            <w:r>
              <w:rPr>
                <w:rFonts w:asciiTheme="minorEastAsia" w:hAnsiTheme="minorEastAsia" w:eastAsiaTheme="minorEastAsia"/>
                <w:b w:val="0"/>
                <w:bCs/>
                <w:color w:val="000000"/>
                <w:sz w:val="21"/>
                <w:szCs w:val="21"/>
              </w:rPr>
              <w:t>3C</w:t>
            </w:r>
            <w:r>
              <w:rPr>
                <w:rFonts w:hint="eastAsia" w:asciiTheme="minorEastAsia" w:hAnsiTheme="minorEastAsia" w:eastAsiaTheme="minorEastAsia"/>
                <w:b w:val="0"/>
                <w:bCs/>
                <w:color w:val="000000"/>
                <w:sz w:val="21"/>
                <w:szCs w:val="21"/>
                <w:lang w:val="en-US" w:eastAsia="zh-CN"/>
              </w:rPr>
              <w:t>认证</w:t>
            </w:r>
            <w:r>
              <w:rPr>
                <w:rFonts w:hint="eastAsia" w:cs="宋体" w:asciiTheme="minorEastAsia" w:hAnsiTheme="minorEastAsia" w:eastAsiaTheme="minorEastAsia"/>
                <w:b w:val="0"/>
                <w:bCs/>
                <w:color w:val="000000"/>
                <w:sz w:val="21"/>
                <w:szCs w:val="21"/>
              </w:rPr>
              <w:t>证书是否有效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rPr>
              <w:t>安全生产许可证是否有效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lang w:val="en-US" w:eastAsia="zh-CN"/>
              </w:rPr>
              <w:t>食品</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rPr>
              <w:t>生产</w:t>
            </w:r>
            <w:r>
              <w:rPr>
                <w:rFonts w:hint="eastAsia" w:asciiTheme="minorEastAsia" w:hAnsiTheme="minorEastAsia" w:eastAsiaTheme="minorEastAsia"/>
                <w:b w:val="0"/>
                <w:bCs/>
                <w:color w:val="000000"/>
                <w:sz w:val="21"/>
                <w:szCs w:val="21"/>
                <w:lang w:val="en-US" w:eastAsia="zh-CN"/>
              </w:rPr>
              <w:t>/</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经营</w:t>
            </w:r>
            <w:r>
              <w:rPr>
                <w:rFonts w:hint="eastAsia" w:asciiTheme="minorEastAsia" w:hAnsiTheme="minorEastAsia" w:eastAsiaTheme="minorEastAsia"/>
                <w:b w:val="0"/>
                <w:bCs/>
                <w:color w:val="000000"/>
                <w:sz w:val="21"/>
                <w:szCs w:val="21"/>
                <w:lang w:val="en-US" w:eastAsia="zh-CN"/>
              </w:rPr>
              <w:t>/</w:t>
            </w:r>
            <w:r>
              <w:rPr>
                <w:rFonts w:hint="eastAsia" w:ascii="MS Gothic" w:hAnsi="MS Gothic" w:eastAsia="MS Gothic" w:cs="MS Gothic"/>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流通许可证</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生产场所是否与与认证申请的经营地址一致</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GB" w:eastAsia="zh-CN"/>
              </w:rPr>
            </w:pPr>
            <w:r>
              <w:rPr>
                <w:rFonts w:hint="eastAsia" w:cs="宋体"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行政许可文件和备案证明是否有效</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w:t>
            </w:r>
            <w:r>
              <w:rPr>
                <w:rFonts w:hint="eastAsia" w:asciiTheme="minorEastAsia" w:hAnsiTheme="minorEastAsia" w:eastAsiaTheme="minorEastAsia"/>
                <w:b/>
                <w:color w:val="000000"/>
                <w:szCs w:val="21"/>
                <w:u w:val="single"/>
                <w:lang w:val="en-US" w:eastAsia="zh-CN"/>
              </w:rPr>
              <w:t>0</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6</w:t>
            </w:r>
            <w:r>
              <w:rPr>
                <w:rFonts w:hint="eastAsia" w:asciiTheme="minorEastAsia" w:hAnsiTheme="minorEastAsia" w:eastAsiaTheme="minorEastAsia"/>
                <w:b/>
                <w:color w:val="000000"/>
                <w:szCs w:val="21"/>
                <w:u w:val="single"/>
              </w:rPr>
              <w:t>月1日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11.已根据策划和标准要求于</w:t>
            </w:r>
            <w:r>
              <w:rPr>
                <w:rFonts w:hint="eastAsia" w:asciiTheme="minorEastAsia" w:hAnsiTheme="minorEastAsia" w:eastAsiaTheme="minorEastAsia"/>
                <w:b/>
                <w:color w:val="000000"/>
                <w:szCs w:val="21"/>
                <w:u w:val="single"/>
              </w:rPr>
              <w:t>202</w:t>
            </w:r>
            <w:r>
              <w:rPr>
                <w:rFonts w:hint="eastAsia" w:asciiTheme="minorEastAsia" w:hAnsiTheme="minorEastAsia" w:eastAsiaTheme="minorEastAsia"/>
                <w:b/>
                <w:color w:val="000000"/>
                <w:szCs w:val="21"/>
                <w:u w:val="single"/>
                <w:lang w:val="en-US" w:eastAsia="zh-CN"/>
              </w:rPr>
              <w:t>2</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4</w:t>
            </w:r>
            <w:r>
              <w:rPr>
                <w:rFonts w:hint="eastAsia" w:asciiTheme="minorEastAsia" w:hAnsiTheme="minorEastAsia" w:eastAsiaTheme="minorEastAsia"/>
                <w:b/>
                <w:color w:val="000000"/>
                <w:szCs w:val="21"/>
                <w:u w:val="single"/>
              </w:rPr>
              <w:t>月2</w:t>
            </w:r>
            <w:r>
              <w:rPr>
                <w:rFonts w:hint="eastAsia" w:asciiTheme="minorEastAsia" w:hAnsiTheme="minorEastAsia" w:eastAsiaTheme="minorEastAsia"/>
                <w:b/>
                <w:color w:val="000000"/>
                <w:szCs w:val="21"/>
                <w:u w:val="single"/>
                <w:lang w:val="en-US" w:eastAsia="zh-CN"/>
              </w:rPr>
              <w:t>0</w:t>
            </w:r>
            <w:r>
              <w:rPr>
                <w:rFonts w:hint="eastAsia" w:asciiTheme="minorEastAsia" w:hAnsiTheme="minorEastAsia" w:eastAsiaTheme="minorEastAsia"/>
                <w:b/>
                <w:color w:val="000000"/>
                <w:szCs w:val="21"/>
                <w:u w:val="single"/>
              </w:rPr>
              <w:t>日</w:t>
            </w:r>
            <w:r>
              <w:rPr>
                <w:rFonts w:hint="eastAsia" w:asciiTheme="minorEastAsia" w:hAnsiTheme="minorEastAsia" w:eastAsiaTheme="minorEastAsia"/>
                <w:b/>
                <w:color w:val="000000"/>
                <w:szCs w:val="21"/>
              </w:rPr>
              <w:t>由有能力的人实施了内部审核，覆盖所有场所、部门和过程，</w:t>
            </w:r>
            <w:r>
              <w:rPr>
                <w:rFonts w:hint="eastAsia" w:asciiTheme="minorEastAsia" w:hAnsiTheme="minorEastAsia" w:eastAsiaTheme="minorEastAsia"/>
                <w:b/>
                <w:color w:val="000000"/>
                <w:szCs w:val="21"/>
                <w:lang w:val="en-GB"/>
              </w:rPr>
              <w:t>组织通过内审验证了管理体系的</w:t>
            </w:r>
            <w:r>
              <w:rPr>
                <w:rFonts w:hint="eastAsia" w:asciiTheme="minorEastAsia" w:hAnsiTheme="minorEastAsia" w:eastAsiaTheme="minorEastAsia"/>
                <w:b/>
                <w:color w:val="000000"/>
                <w:szCs w:val="21"/>
              </w:rPr>
              <w:t>符合性</w:t>
            </w:r>
            <w:r>
              <w:rPr>
                <w:rFonts w:hint="eastAsia" w:asciiTheme="minorEastAsia" w:hAnsiTheme="minorEastAsia" w:eastAsiaTheme="minorEastAsia"/>
                <w:b/>
                <w:color w:val="000000"/>
                <w:szCs w:val="21"/>
                <w:lang w:val="en-GB"/>
              </w:rPr>
              <w:t>及有效性，</w:t>
            </w:r>
            <w:r>
              <w:rPr>
                <w:rFonts w:hint="eastAsia" w:asciiTheme="minorEastAsia" w:hAnsiTheme="minorEastAsia" w:eastAsiaTheme="minorEastAsia"/>
                <w:b/>
                <w:color w:val="000000"/>
                <w:szCs w:val="21"/>
              </w:rPr>
              <w:t>并对不符合项制订和采取了纠正措施。</w:t>
            </w:r>
          </w:p>
        </w:tc>
        <w:tc>
          <w:tcPr>
            <w:tcW w:w="970" w:type="dxa"/>
            <w:gridSpan w:val="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 w:val="21"/>
                <w:szCs w:val="21"/>
                <w:lang w:val="en-US" w:eastAsia="zh-CN"/>
              </w:rPr>
              <w:t>12.已根据策划于</w:t>
            </w:r>
            <w:r>
              <w:rPr>
                <w:rFonts w:hint="eastAsia" w:asciiTheme="minorEastAsia" w:hAnsiTheme="minorEastAsia" w:eastAsiaTheme="minorEastAsia"/>
                <w:color w:val="000000"/>
                <w:sz w:val="21"/>
                <w:szCs w:val="21"/>
                <w:u w:val="single"/>
                <w:lang w:val="en-US" w:eastAsia="zh-CN"/>
              </w:rPr>
              <w:t>2022年5月10日</w:t>
            </w:r>
            <w:r>
              <w:rPr>
                <w:rFonts w:hint="eastAsia" w:asciiTheme="minorEastAsia" w:hAnsiTheme="minorEastAsia" w:eastAsiaTheme="minor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其他补充说明</w:t>
            </w:r>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40"/>
        <w:gridCol w:w="5631"/>
        <w:gridCol w:w="370"/>
        <w:gridCol w:w="634"/>
        <w:gridCol w:w="283"/>
        <w:gridCol w:w="150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（6）对特种设备是否按法规要求检测和备案且完好运行</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gridSpan w:val="2"/>
            <w:shd w:val="clear" w:color="auto" w:fill="92D05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是否按法规办理了环境影响评价登记表/报告表/报告书</w:t>
            </w:r>
          </w:p>
        </w:tc>
        <w:tc>
          <w:tcPr>
            <w:tcW w:w="2443" w:type="dxa"/>
            <w:gridSpan w:val="4"/>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4"/>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是否按法规办理了环境影响评价报告表/报告书的验收</w:t>
            </w:r>
          </w:p>
        </w:tc>
        <w:tc>
          <w:tcPr>
            <w:tcW w:w="2443" w:type="dxa"/>
            <w:gridSpan w:val="4"/>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4"/>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是否按法规办理了《排污许可证》</w:t>
            </w:r>
          </w:p>
        </w:tc>
        <w:tc>
          <w:tcPr>
            <w:tcW w:w="2443" w:type="dxa"/>
            <w:gridSpan w:val="4"/>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是否提供近期环境监测报告</w:t>
            </w:r>
          </w:p>
        </w:tc>
        <w:tc>
          <w:tcPr>
            <w:tcW w:w="2443" w:type="dxa"/>
            <w:gridSpan w:val="4"/>
            <w:shd w:val="clear" w:color="auto" w:fill="92D050"/>
          </w:tcPr>
          <w:p>
            <w:pPr>
              <w:rPr>
                <w:rFonts w:asciiTheme="minorEastAsia" w:hAnsiTheme="minorEastAsia" w:eastAsiaTheme="minorEastAsi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gridSpan w:val="3"/>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是否有相关方重大环境方面的投诉</w:t>
            </w:r>
          </w:p>
        </w:tc>
        <w:tc>
          <w:tcPr>
            <w:tcW w:w="2443" w:type="dxa"/>
            <w:gridSpan w:val="4"/>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7"/>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动力装置场所、□危险化学品仓库、□污染物治疗设施、□危废堆放场所，</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57" w:hRule="atLeast"/>
        </w:trPr>
        <w:tc>
          <w:tcPr>
            <w:tcW w:w="9763" w:type="dxa"/>
            <w:gridSpan w:val="8"/>
            <w:shd w:val="clear" w:color="auto" w:fill="F3F3F3"/>
            <w:vAlign w:val="center"/>
          </w:tcPr>
          <w:p>
            <w:pPr>
              <w:spacing w:before="40" w:after="40"/>
              <w:rPr>
                <w:rFonts w:asciiTheme="minorEastAsia" w:hAnsiTheme="minorEastAsia" w:eastAsiaTheme="minorEastAsia"/>
                <w:szCs w:val="21"/>
              </w:rPr>
            </w:pPr>
            <w:r>
              <w:rPr>
                <w:rFonts w:hint="eastAsia" w:ascii="MS Gothic" w:hAnsi="MS Gothic" w:eastAsia="MS Gothic" w:cs="MS Gothic"/>
                <w:color w:val="000000"/>
                <w:spacing w:val="-10"/>
                <w:szCs w:val="21"/>
              </w:rPr>
              <w:t>☐</w:t>
            </w:r>
            <w:r>
              <w:rPr>
                <w:rFonts w:asciiTheme="minorEastAsia" w:hAnsiTheme="minorEastAsia" w:eastAsiaTheme="minorEastAsia"/>
                <w:b/>
                <w:szCs w:val="21"/>
              </w:rPr>
              <w:t>OHSAS 18001:2007</w:t>
            </w:r>
            <w:r>
              <w:rPr>
                <w:rFonts w:hint="eastAsia" w:asciiTheme="minorEastAsia" w:hAnsiTheme="minorEastAsia" w:eastAsiaTheme="minorEastAsia"/>
                <w:b/>
                <w:szCs w:val="21"/>
              </w:rPr>
              <w:t>/</w:t>
            </w:r>
            <w:r>
              <w:rPr>
                <w:rFonts w:hint="eastAsia" w:ascii="MS Gothic" w:hAnsi="MS Gothic" w:eastAsia="MS Gothic" w:cs="MS Gothic"/>
                <w:color w:val="000000"/>
                <w:spacing w:val="-10"/>
                <w:szCs w:val="21"/>
              </w:rPr>
              <w:t>☐</w:t>
            </w:r>
            <w:r>
              <w:rPr>
                <w:rFonts w:asciiTheme="minorEastAsia" w:hAnsiTheme="minorEastAsia" w:eastAsiaTheme="minorEastAsia"/>
                <w:b/>
                <w:szCs w:val="21"/>
              </w:rPr>
              <w:t>ISO 45001</w:t>
            </w:r>
            <w:r>
              <w:rPr>
                <w:rFonts w:hint="eastAsia" w:asciiTheme="minorEastAsia" w:hAnsiTheme="minorEastAsia" w:eastAsiaTheme="minorEastAsia"/>
                <w:b/>
                <w:szCs w:val="21"/>
              </w:rPr>
              <w:t>:2018</w:t>
            </w:r>
            <w:r>
              <w:rPr>
                <w:rFonts w:asciiTheme="minorEastAsia" w:hAnsiTheme="minorEastAsia" w:eastAsiaTheme="minorEastAsia"/>
                <w:b/>
                <w:szCs w:val="21"/>
              </w:rPr>
              <w:t>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9763" w:type="dxa"/>
            <w:gridSpan w:val="8"/>
            <w:shd w:val="clear" w:color="auto" w:fill="FFFF0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危险源辨识、风险评价及风险控制措施策划（</w:t>
            </w:r>
            <w:r>
              <w:rPr>
                <w:rFonts w:asciiTheme="minorEastAsia" w:hAnsiTheme="minorEastAsia" w:eastAsiaTheme="minorEastAsia"/>
                <w:b/>
                <w:color w:val="000000"/>
                <w:szCs w:val="21"/>
              </w:rPr>
              <w:t>OHS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）是否明确了职业健康安全管理体系的覆盖范围</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）是否建立和实施了员工参与和协商的控制措施</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）危险源辨识是否充分</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（4）是否明确了风险评价的方法和风险确定的准则</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）风险评价是否合理</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）是否建立和实施了不可接受风险的控制措施</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（7）对特种设备是否按法规要求检测和备案且完好运行</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（8）安全装置是否满足合规义务要求且完好运行</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（9）针对不可接受风险是否明确了监视和测量的要求</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（10）是否充分识别了法律法规和其他要求并进行了合规性评价</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（11）是否建立和实施了三级安全教育的控制措施</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（12）是否充分识别了潜在的紧急情况</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（13）针对潜在的紧急情况是否建立了应急准备与响应预案</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（14）是否发生了紧急情况并采取了有效的控制措施</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2" w:hRule="atLeast"/>
          <w:jc w:val="center"/>
        </w:trPr>
        <w:tc>
          <w:tcPr>
            <w:tcW w:w="6967"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（15）是否对事件、不符合进行了充分的整改并防止重复发生</w:t>
            </w:r>
          </w:p>
        </w:tc>
        <w:tc>
          <w:tcPr>
            <w:tcW w:w="1004" w:type="dxa"/>
            <w:gridSpan w:val="2"/>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792" w:type="dxa"/>
            <w:gridSpan w:val="2"/>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restart"/>
            <w:shd w:val="clear" w:color="auto" w:fill="FFFF0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受审核方职业健康安全管理体系认证范围内的合规性证据</w:t>
            </w: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是否有安全预评价/现状评价报告</w:t>
            </w:r>
          </w:p>
        </w:tc>
        <w:tc>
          <w:tcPr>
            <w:tcW w:w="2796"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是否有职业健康预评估/现状评价报告</w:t>
            </w:r>
          </w:p>
        </w:tc>
        <w:tc>
          <w:tcPr>
            <w:tcW w:w="2796"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是否有消防验收报告/备案登记</w:t>
            </w:r>
          </w:p>
        </w:tc>
        <w:tc>
          <w:tcPr>
            <w:tcW w:w="2796"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是否提供近一年的作业场所有害物质监测报告</w:t>
            </w:r>
          </w:p>
        </w:tc>
        <w:tc>
          <w:tcPr>
            <w:tcW w:w="2796"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vAlign w:val="center"/>
          </w:tcPr>
          <w:p>
            <w:pPr>
              <w:ind w:left="-1" w:leftChars="-1" w:hanging="1"/>
              <w:jc w:val="left"/>
              <w:rPr>
                <w:rFonts w:asciiTheme="minorEastAsia" w:hAnsiTheme="minorEastAsia" w:eastAsiaTheme="minorEastAsia"/>
                <w:color w:val="00000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是否提供近一年的职业健康体检报告</w:t>
            </w:r>
          </w:p>
        </w:tc>
        <w:tc>
          <w:tcPr>
            <w:tcW w:w="2796" w:type="dxa"/>
            <w:gridSpan w:val="4"/>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restart"/>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职业健康安全处罚、曝光和投诉</w:t>
            </w: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是否受到安监主管部门的处罚</w:t>
            </w:r>
          </w:p>
        </w:tc>
        <w:tc>
          <w:tcPr>
            <w:tcW w:w="2796" w:type="dxa"/>
            <w:gridSpan w:val="4"/>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217" w:hRule="atLeast"/>
          <w:jc w:val="center"/>
        </w:trPr>
        <w:tc>
          <w:tcPr>
            <w:tcW w:w="1336" w:type="dxa"/>
            <w:gridSpan w:val="3"/>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w:t>
            </w:r>
            <w:r>
              <w:rPr>
                <w:rFonts w:hint="eastAsia" w:asciiTheme="minorEastAsia" w:hAnsiTheme="minorEastAsia" w:eastAsiaTheme="minorEastAsia"/>
                <w:color w:val="000000"/>
                <w:spacing w:val="-10"/>
                <w:szCs w:val="21"/>
              </w:rPr>
              <w:t>职业健康</w:t>
            </w:r>
            <w:r>
              <w:rPr>
                <w:rFonts w:hint="eastAsia" w:asciiTheme="minorEastAsia" w:hAnsiTheme="minorEastAsia" w:eastAsiaTheme="minorEastAsia"/>
                <w:color w:val="000000"/>
                <w:szCs w:val="21"/>
              </w:rPr>
              <w:t>安全问题受到媒体的曝光</w:t>
            </w:r>
          </w:p>
        </w:tc>
        <w:tc>
          <w:tcPr>
            <w:tcW w:w="2796" w:type="dxa"/>
            <w:gridSpan w:val="4"/>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是否发生了重大的安全、工伤和职业病事故</w:t>
            </w:r>
          </w:p>
        </w:tc>
        <w:tc>
          <w:tcPr>
            <w:tcW w:w="2796" w:type="dxa"/>
            <w:gridSpan w:val="4"/>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vMerge w:val="continue"/>
            <w:shd w:val="clear" w:color="auto" w:fill="FFFF00"/>
          </w:tcPr>
          <w:p>
            <w:pPr>
              <w:ind w:left="168" w:leftChars="80"/>
              <w:rPr>
                <w:rFonts w:asciiTheme="minorEastAsia" w:hAnsiTheme="minorEastAsia" w:eastAsiaTheme="minorEastAsia"/>
                <w:color w:val="000000"/>
                <w:spacing w:val="-10"/>
                <w:szCs w:val="21"/>
              </w:rPr>
            </w:pPr>
          </w:p>
        </w:tc>
        <w:tc>
          <w:tcPr>
            <w:tcW w:w="5631" w:type="dxa"/>
            <w:shd w:val="clear" w:color="auto" w:fill="FFFF0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w:t>
            </w:r>
            <w:r>
              <w:rPr>
                <w:rFonts w:hint="eastAsia" w:asciiTheme="minorEastAsia" w:hAnsiTheme="minorEastAsia" w:eastAsiaTheme="minorEastAsia"/>
                <w:color w:val="000000"/>
                <w:spacing w:val="-10"/>
                <w:szCs w:val="21"/>
              </w:rPr>
              <w:t>职业健康</w:t>
            </w:r>
            <w:r>
              <w:rPr>
                <w:rFonts w:hint="eastAsia" w:asciiTheme="minorEastAsia" w:hAnsiTheme="minorEastAsia" w:eastAsiaTheme="minorEastAsia"/>
                <w:color w:val="000000"/>
                <w:szCs w:val="21"/>
              </w:rPr>
              <w:t>安全方面的重大投诉</w:t>
            </w:r>
          </w:p>
        </w:tc>
        <w:tc>
          <w:tcPr>
            <w:tcW w:w="2796" w:type="dxa"/>
            <w:gridSpan w:val="4"/>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1336" w:type="dxa"/>
            <w:gridSpan w:val="3"/>
            <w:shd w:val="clear" w:color="auto" w:fill="FFFF0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职业健康安全管理体系重点关注</w:t>
            </w:r>
          </w:p>
        </w:tc>
        <w:tc>
          <w:tcPr>
            <w:tcW w:w="8427" w:type="dxa"/>
            <w:gridSpan w:val="5"/>
            <w:shd w:val="clear" w:color="auto" w:fill="FFFF00"/>
          </w:tcPr>
          <w:p>
            <w:pPr>
              <w:rPr>
                <w:rFonts w:asciiTheme="minorEastAsia" w:hAnsiTheme="minorEastAsia" w:eastAsiaTheme="minorEastAsia"/>
                <w:color w:val="000000"/>
                <w:spacing w:val="-10"/>
                <w:szCs w:val="21"/>
              </w:rPr>
            </w:pP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安全和职业健康主管部门、</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职业危害场所、</w:t>
            </w:r>
            <w:r>
              <w:rPr>
                <w:rFonts w:hint="eastAsia" w:cs="宋体" w:asciiTheme="minorEastAsia" w:hAnsiTheme="minorEastAsia" w:eastAsiaTheme="minorEastAsia"/>
                <w:color w:val="000000"/>
                <w:spacing w:val="-10"/>
                <w:szCs w:val="21"/>
              </w:rPr>
              <w:t>■</w:t>
            </w:r>
            <w:r>
              <w:rPr>
                <w:rFonts w:hint="eastAsia" w:asciiTheme="minorEastAsia" w:hAnsiTheme="minorEastAsia" w:eastAsiaTheme="minorEastAsia"/>
                <w:color w:val="000000"/>
                <w:spacing w:val="-10"/>
                <w:szCs w:val="21"/>
              </w:rPr>
              <w:t>高风险作业场所，□危险化学品仓库，包括周边境况。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Theme="minorEastAsia" w:hAnsiTheme="minorEastAsia" w:eastAsiaTheme="minorEastAsia"/>
                <w:b/>
                <w:color w:val="000000"/>
                <w:szCs w:val="21"/>
                <w:u w:val="single"/>
              </w:rPr>
            </w:pP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zCs w:val="21"/>
              </w:rPr>
              <w:t>具有□不具有，说明：</w:t>
            </w:r>
          </w:p>
          <w:p>
            <w:pPr>
              <w:spacing w:line="360" w:lineRule="auto"/>
              <w:rPr>
                <w:rFonts w:ascii="宋体" w:hAnsi="宋体"/>
                <w:b/>
                <w:color w:val="000000"/>
                <w:szCs w:val="21"/>
              </w:rPr>
            </w:pPr>
            <w:r>
              <w:rPr>
                <w:rFonts w:hint="eastAsia" w:asciiTheme="minorEastAsia" w:hAnsiTheme="minorEastAsia" w:eastAsiaTheme="minorEastAsia"/>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eastAsia" w:ascii="宋体" w:eastAsia="宋体"/>
                <w:b/>
                <w:color w:val="000000"/>
                <w:szCs w:val="21"/>
                <w:lang w:val="en-US" w:eastAsia="zh-CN"/>
              </w:rPr>
            </w:pPr>
            <w:r>
              <w:rPr>
                <w:rFonts w:hint="eastAsia" w:ascii="宋体" w:hAnsi="宋体"/>
                <w:b/>
                <w:bCs/>
                <w:color w:val="000000"/>
                <w:sz w:val="21"/>
              </w:rPr>
              <w:t>沙坪坝区上桥新街39号附</w:t>
            </w:r>
            <w:r>
              <w:rPr>
                <w:rFonts w:hint="eastAsia" w:ascii="宋体" w:hAnsi="宋体" w:eastAsia="宋体" w:cs="Times New Roman"/>
                <w:b/>
                <w:bCs/>
                <w:color w:val="000000"/>
                <w:sz w:val="21"/>
              </w:rPr>
              <w:t>4号，车程</w:t>
            </w:r>
            <w:r>
              <w:rPr>
                <w:rFonts w:hint="eastAsia" w:ascii="宋体" w:hAnsi="宋体" w:eastAsia="宋体" w:cs="Times New Roman"/>
                <w:b/>
                <w:bCs/>
                <w:color w:val="000000"/>
                <w:sz w:val="21"/>
                <w:lang w:val="en-US" w:eastAsia="zh-CN"/>
              </w:rPr>
              <w:t>1</w:t>
            </w:r>
            <w:r>
              <w:rPr>
                <w:rFonts w:hint="eastAsia" w:ascii="宋体" w:hAnsi="宋体" w:eastAsia="宋体" w:cs="Times New Roman"/>
                <w:b/>
                <w:bCs/>
                <w:color w:val="000000"/>
                <w:sz w:val="21"/>
              </w:rPr>
              <w:t>0分钟</w:t>
            </w:r>
            <w:r>
              <w:rPr>
                <w:rFonts w:hint="eastAsia" w:ascii="宋体" w:hAnsi="宋体" w:eastAsia="宋体" w:cs="Times New Roman"/>
                <w:b/>
                <w:bCs/>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zCs w:val="21"/>
              </w:rPr>
              <w:t>按审核方案执行</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□调整审核方案的理由：</w:t>
            </w:r>
          </w:p>
          <w:p>
            <w:pPr>
              <w:spacing w:line="360" w:lineRule="auto"/>
              <w:rPr>
                <w:rFonts w:ascii="宋体" w:hAnsi="宋体"/>
                <w:b/>
                <w:color w:val="000000"/>
                <w:szCs w:val="21"/>
              </w:rPr>
            </w:pPr>
            <w:r>
              <w:rPr>
                <w:rFonts w:hint="eastAsia" w:asciiTheme="minorEastAsia" w:hAnsiTheme="minorEastAsia" w:eastAsiaTheme="minorEastAsia"/>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2022-06-1</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cs="宋体"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708" w:type="dxa"/>
            <w:vAlign w:val="top"/>
          </w:tcPr>
          <w:p>
            <w:pPr>
              <w:rPr>
                <w:rFonts w:ascii="宋体"/>
                <w:color w:val="000000"/>
                <w:szCs w:val="21"/>
              </w:rPr>
            </w:pPr>
            <w:r>
              <w:rPr>
                <w:rFonts w:hint="eastAsia" w:asciiTheme="minorEastAsia" w:hAnsiTheme="minorEastAsia" w:eastAsiaTheme="minorEastAsia"/>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cs="宋体" w:asciiTheme="minorEastAsia" w:hAnsiTheme="minorEastAsia" w:eastAsiaTheme="minorEastAsia"/>
                <w:b/>
                <w:color w:val="000000"/>
                <w:spacing w:val="-10"/>
                <w:szCs w:val="21"/>
                <w:lang w:val="de-DE" w:eastAsia="zh-CN"/>
              </w:rPr>
              <w:t>□</w:t>
            </w:r>
            <w:r>
              <w:rPr>
                <w:rFonts w:asciiTheme="minorEastAsia" w:hAnsiTheme="minorEastAsia" w:eastAsiaTheme="minorEastAsia"/>
                <w:b/>
                <w:color w:val="000000"/>
                <w:szCs w:val="21"/>
              </w:rPr>
              <w:t>QMS/</w:t>
            </w:r>
            <w:r>
              <w:rPr>
                <w:rFonts w:hint="eastAsia" w:cs="宋体"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EMS/</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宋体" w:hAnsi="宋体" w:eastAsia="宋体" w:cs="宋体"/>
                <w:b/>
                <w:color w:val="000000"/>
                <w:spacing w:val="-10"/>
                <w:szCs w:val="21"/>
                <w:lang w:val="de-DE"/>
              </w:rPr>
              <w:t>■</w:t>
            </w: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有少量问题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有一些问题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需改进</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二阶段审核前需完成“问题清单”的整改</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附件二</w:t>
            </w:r>
            <w:r>
              <w:rPr>
                <w:rFonts w:asciiTheme="minorEastAsia" w:hAnsiTheme="minorEastAsia" w:eastAsiaTheme="minorEastAsia"/>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□有较多问题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不具备</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可能降低可靠性的障碍</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突发事件的情况</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突发事件的处置措施</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□中止审核□终止审核□延迟审核□改为现场审核</w:t>
            </w:r>
          </w:p>
          <w:p>
            <w:pPr>
              <w:rPr>
                <w:rFonts w:asciiTheme="minorEastAsia" w:hAnsiTheme="minorEastAsia" w:eastAsiaTheme="minorEastAsia"/>
                <w:b/>
                <w:szCs w:val="21"/>
              </w:rPr>
            </w:pPr>
            <w:r>
              <w:rPr>
                <w:rFonts w:hint="eastAsia" w:asciiTheme="minorEastAsia" w:hAnsiTheme="minorEastAsia" w:eastAsiaTheme="minor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asciiTheme="minorEastAsia" w:hAnsiTheme="minorEastAsia" w:eastAsiaTheme="minorEastAsia"/>
                <w:b/>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电梯安装、修理（资质范围内）所涉及场所的相关环境管理活动</w:t>
            </w:r>
          </w:p>
        </w:tc>
        <w:tc>
          <w:tcPr>
            <w:tcW w:w="1541" w:type="dxa"/>
            <w:vAlign w:val="center"/>
          </w:tcPr>
          <w:p>
            <w:pPr>
              <w:spacing w:line="400" w:lineRule="exact"/>
              <w:rPr>
                <w:rFonts w:ascii="宋体" w:hAnsi="宋体"/>
                <w:b/>
                <w:color w:val="000000"/>
                <w:szCs w:val="21"/>
              </w:rPr>
            </w:pPr>
            <w:r>
              <w:rPr>
                <w:rFonts w:hint="eastAsia"/>
                <w:lang w:val="en-US" w:eastAsia="zh-CN"/>
              </w:rPr>
              <w:t>E：2</w:t>
            </w:r>
            <w:r>
              <w:t>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电梯安装、修理（资质范围内）所涉及场所的相关职业健康安全管理活动</w:t>
            </w:r>
          </w:p>
        </w:tc>
        <w:tc>
          <w:tcPr>
            <w:tcW w:w="1541" w:type="dxa"/>
            <w:vAlign w:val="center"/>
          </w:tcPr>
          <w:p>
            <w:pPr>
              <w:spacing w:line="400" w:lineRule="exact"/>
              <w:rPr>
                <w:rFonts w:ascii="宋体" w:hAnsi="宋体"/>
                <w:b/>
                <w:color w:val="000000"/>
                <w:szCs w:val="21"/>
              </w:rPr>
            </w:pPr>
            <w:r>
              <w:rPr>
                <w:rFonts w:hint="eastAsia"/>
                <w:lang w:val="en-US" w:eastAsia="zh-CN"/>
              </w:rPr>
              <w:t>O：2</w:t>
            </w:r>
            <w:r>
              <w:t>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1"/>
          <w:szCs w:val="21"/>
        </w:rPr>
        <w:drawing>
          <wp:anchor distT="0" distB="0" distL="114300" distR="114300" simplePos="0" relativeHeight="251661312" behindDoc="0" locked="0" layoutInCell="1" allowOverlap="1">
            <wp:simplePos x="0" y="0"/>
            <wp:positionH relativeFrom="column">
              <wp:posOffset>4321810</wp:posOffset>
            </wp:positionH>
            <wp:positionV relativeFrom="paragraph">
              <wp:posOffset>302895</wp:posOffset>
            </wp:positionV>
            <wp:extent cx="781050" cy="412115"/>
            <wp:effectExtent l="0" t="0" r="11430" b="14605"/>
            <wp:wrapNone/>
            <wp:docPr id="3" name="图片 44" descr="33859f7b23be332fba6360c433f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descr="33859f7b23be332fba6360c433f1d60"/>
                    <pic:cNvPicPr>
                      <a:picLocks noChangeAspect="1"/>
                    </pic:cNvPicPr>
                  </pic:nvPicPr>
                  <pic:blipFill>
                    <a:blip r:embed="rId6"/>
                    <a:stretch>
                      <a:fillRect/>
                    </a:stretch>
                  </pic:blipFill>
                  <pic:spPr>
                    <a:xfrm>
                      <a:off x="0" y="0"/>
                      <a:ext cx="781050" cy="41211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1810385</wp:posOffset>
            </wp:positionH>
            <wp:positionV relativeFrom="paragraph">
              <wp:posOffset>13335</wp:posOffset>
            </wp:positionV>
            <wp:extent cx="783590" cy="388620"/>
            <wp:effectExtent l="0" t="0" r="8890" b="7620"/>
            <wp:wrapNone/>
            <wp:docPr id="2"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3" descr="fd760dbe16eb6185a5a45f762861822"/>
                    <pic:cNvPicPr>
                      <a:picLocks noChangeAspect="1"/>
                    </pic:cNvPicPr>
                  </pic:nvPicPr>
                  <pic:blipFill>
                    <a:blip r:embed="rId7"/>
                    <a:stretch>
                      <a:fillRect/>
                    </a:stretch>
                  </pic:blipFill>
                  <pic:spPr>
                    <a:xfrm>
                      <a:off x="0" y="0"/>
                      <a:ext cx="783590" cy="38862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2022年6月10日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重庆港迅电梯工程有限公司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rFonts w:asciiTheme="minorEastAsia" w:hAnsiTheme="minorEastAsia" w:eastAsiaTheme="minorEastAsia"/>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699135</wp:posOffset>
                  </wp:positionH>
                  <wp:positionV relativeFrom="paragraph">
                    <wp:posOffset>1905</wp:posOffset>
                  </wp:positionV>
                  <wp:extent cx="783590" cy="388620"/>
                  <wp:effectExtent l="0" t="0" r="8890" b="7620"/>
                  <wp:wrapNone/>
                  <wp:docPr id="8"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3" descr="fd760dbe16eb6185a5a45f762861822"/>
                          <pic:cNvPicPr>
                            <a:picLocks noChangeAspect="1"/>
                          </pic:cNvPicPr>
                        </pic:nvPicPr>
                        <pic:blipFill>
                          <a:blip r:embed="rId7"/>
                          <a:stretch>
                            <a:fillRect/>
                          </a:stretch>
                        </pic:blipFill>
                        <pic:spPr>
                          <a:xfrm>
                            <a:off x="0" y="0"/>
                            <a:ext cx="783590" cy="388620"/>
                          </a:xfrm>
                          <a:prstGeom prst="rect">
                            <a:avLst/>
                          </a:prstGeom>
                          <a:noFill/>
                          <a:ln>
                            <a:noFill/>
                          </a:ln>
                        </pic:spPr>
                      </pic:pic>
                    </a:graphicData>
                  </a:graphic>
                </wp:anchor>
              </w:drawing>
            </w:r>
            <w:r>
              <w:rPr>
                <w:rFonts w:hint="eastAsia" w:asciiTheme="minorEastAsia" w:hAnsiTheme="minorEastAsia" w:eastAsiaTheme="minorEastAsia"/>
                <w:b/>
                <w:color w:val="000000"/>
                <w:szCs w:val="21"/>
              </w:rPr>
              <w:t>审核组长：</w:t>
            </w:r>
          </w:p>
          <w:p>
            <w:pPr>
              <w:spacing w:line="280" w:lineRule="exact"/>
              <w:rPr>
                <w:rFonts w:asciiTheme="minorEastAsia" w:hAnsiTheme="minorEastAsia" w:eastAsiaTheme="minorEastAsia"/>
                <w:b/>
                <w:color w:val="000000"/>
                <w:szCs w:val="21"/>
              </w:rPr>
            </w:pPr>
          </w:p>
          <w:p>
            <w:pPr>
              <w:spacing w:line="280" w:lineRule="exact"/>
              <w:rPr>
                <w:rFonts w:asciiTheme="minorEastAsia" w:hAnsiTheme="minorEastAsia" w:eastAsiaTheme="minorEastAsia"/>
                <w:b/>
                <w:color w:val="000000"/>
                <w:szCs w:val="21"/>
              </w:rPr>
            </w:pPr>
          </w:p>
          <w:p>
            <w:pPr>
              <w:spacing w:line="280" w:lineRule="exact"/>
              <w:rPr>
                <w:b/>
                <w:color w:val="000000"/>
                <w:szCs w:val="21"/>
              </w:rPr>
            </w:pPr>
            <w:r>
              <w:rPr>
                <w:rFonts w:hint="eastAsia" w:asciiTheme="minorEastAsia" w:hAnsiTheme="minorEastAsia" w:eastAsiaTheme="minorEastAsia"/>
                <w:b/>
                <w:color w:val="000000"/>
                <w:szCs w:val="21"/>
              </w:rPr>
              <w:t>日期：2022年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月1</w:t>
            </w:r>
            <w:r>
              <w:rPr>
                <w:rFonts w:hint="eastAsia" w:asciiTheme="minorEastAsia" w:hAnsiTheme="minorEastAsia" w:eastAsiaTheme="minorEastAsia"/>
                <w:b/>
                <w:color w:val="000000"/>
                <w:szCs w:val="21"/>
                <w:lang w:val="en-US" w:eastAsia="zh-CN"/>
              </w:rPr>
              <w:t>0</w:t>
            </w:r>
            <w:r>
              <w:rPr>
                <w:rFonts w:hint="eastAsia" w:asciiTheme="minorEastAsia" w:hAnsiTheme="minorEastAsia" w:eastAsiaTheme="minorEastAsia"/>
                <w:b/>
                <w:color w:val="000000"/>
                <w:szCs w:val="21"/>
              </w:rPr>
              <w:t>日</w:t>
            </w:r>
          </w:p>
        </w:tc>
        <w:tc>
          <w:tcPr>
            <w:tcW w:w="5392" w:type="dxa"/>
            <w:gridSpan w:val="4"/>
            <w:vAlign w:val="top"/>
          </w:tcPr>
          <w:p>
            <w:pPr>
              <w:spacing w:line="280" w:lineRule="exact"/>
              <w:rPr>
                <w:rFonts w:hint="default" w:asciiTheme="minorEastAsia" w:hAnsiTheme="minorEastAsia" w:eastAsiaTheme="minorEastAsia"/>
                <w:b/>
                <w:color w:val="000000"/>
                <w:szCs w:val="21"/>
                <w:lang w:val="en-US" w:eastAsia="zh-CN"/>
              </w:rPr>
            </w:pPr>
            <w:r>
              <w:rPr>
                <w:rFonts w:hint="eastAsia" w:asciiTheme="minorEastAsia" w:hAnsiTheme="minorEastAsia" w:eastAsiaTheme="minorEastAsia"/>
                <w:b/>
                <w:color w:val="000000"/>
                <w:szCs w:val="21"/>
              </w:rPr>
              <w:t>受审核方代表：</w:t>
            </w:r>
            <w:r>
              <w:rPr>
                <w:rFonts w:hint="eastAsia" w:asciiTheme="minorEastAsia" w:hAnsiTheme="minorEastAsia" w:eastAsiaTheme="minorEastAsia"/>
                <w:b/>
                <w:color w:val="000000"/>
                <w:szCs w:val="21"/>
                <w:lang w:val="en-US" w:eastAsia="zh-CN"/>
              </w:rPr>
              <w:t>段志容</w:t>
            </w:r>
          </w:p>
          <w:p>
            <w:pPr>
              <w:spacing w:line="280" w:lineRule="exact"/>
              <w:rPr>
                <w:rFonts w:asciiTheme="minorEastAsia" w:hAnsiTheme="minorEastAsia" w:eastAsiaTheme="minorEastAsia"/>
                <w:b/>
                <w:color w:val="000000"/>
                <w:szCs w:val="21"/>
              </w:rPr>
            </w:pPr>
          </w:p>
          <w:p>
            <w:pPr>
              <w:spacing w:line="280" w:lineRule="exact"/>
              <w:rPr>
                <w:rFonts w:hint="eastAsia" w:asciiTheme="minorEastAsia" w:hAnsiTheme="minorEastAsia" w:eastAsiaTheme="minorEastAsia"/>
                <w:b/>
                <w:color w:val="000000"/>
                <w:szCs w:val="21"/>
              </w:rPr>
            </w:pPr>
          </w:p>
          <w:p>
            <w:pPr>
              <w:spacing w:line="280" w:lineRule="exact"/>
              <w:rPr>
                <w:b/>
                <w:color w:val="000000"/>
                <w:szCs w:val="21"/>
              </w:rPr>
            </w:pPr>
            <w:r>
              <w:rPr>
                <w:rFonts w:hint="eastAsia" w:asciiTheme="minorEastAsia" w:hAnsiTheme="minorEastAsia" w:eastAsiaTheme="minorEastAsia"/>
                <w:b/>
                <w:color w:val="000000"/>
                <w:szCs w:val="21"/>
              </w:rPr>
              <w:t>日期：2022年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月1</w:t>
            </w:r>
            <w:r>
              <w:rPr>
                <w:rFonts w:hint="eastAsia" w:asciiTheme="minorEastAsia" w:hAnsiTheme="minorEastAsia" w:eastAsiaTheme="minorEastAsia"/>
                <w:b/>
                <w:color w:val="000000"/>
                <w:szCs w:val="21"/>
                <w:lang w:val="en-US" w:eastAsia="zh-CN"/>
              </w:rPr>
              <w:t>0</w:t>
            </w:r>
            <w:r>
              <w:rPr>
                <w:rFonts w:hint="eastAsia" w:asciiTheme="minorEastAsia" w:hAnsiTheme="minorEastAsia" w:eastAsiaTheme="minor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Theme="minorEastAsia" w:hAnsiTheme="minorEastAsia" w:eastAsiaTheme="minorEastAsia"/>
                <w:b/>
                <w:bCs/>
                <w:color w:val="000000"/>
                <w:spacing w:val="-8"/>
                <w:szCs w:val="21"/>
              </w:rPr>
            </w:pPr>
            <w:r>
              <w:rPr>
                <w:rFonts w:hint="eastAsia" w:asciiTheme="minorEastAsia" w:hAnsiTheme="minorEastAsia" w:eastAsiaTheme="minorEastAsia"/>
                <w:b/>
                <w:bCs/>
                <w:color w:val="000000"/>
                <w:spacing w:val="-8"/>
                <w:szCs w:val="21"/>
              </w:rPr>
              <w:t>对</w:t>
            </w:r>
            <w:r>
              <w:rPr>
                <w:rFonts w:hint="eastAsia" w:asciiTheme="minorEastAsia" w:hAnsiTheme="minorEastAsia" w:eastAsiaTheme="minorEastAsia"/>
                <w:b/>
                <w:color w:val="000000"/>
                <w:spacing w:val="-12"/>
                <w:szCs w:val="21"/>
              </w:rPr>
              <w:t>一阶段现场审核严重</w:t>
            </w:r>
            <w:r>
              <w:rPr>
                <w:rFonts w:hint="eastAsia" w:asciiTheme="minorEastAsia" w:hAnsiTheme="minorEastAsia" w:eastAsiaTheme="minorEastAsia"/>
                <w:b/>
                <w:bCs/>
                <w:color w:val="000000"/>
                <w:spacing w:val="-8"/>
                <w:szCs w:val="21"/>
              </w:rPr>
              <w:t>问题整改结果的验证结论：</w:t>
            </w:r>
          </w:p>
          <w:p>
            <w:pPr>
              <w:spacing w:line="360" w:lineRule="exact"/>
              <w:rPr>
                <w:rFonts w:asciiTheme="minorEastAsia" w:hAnsiTheme="minorEastAsia" w:eastAsiaTheme="minorEastAsia"/>
                <w:b/>
                <w:color w:val="000000"/>
                <w:szCs w:val="21"/>
              </w:rPr>
            </w:pPr>
            <w:r>
              <w:rPr>
                <w:rFonts w:hint="eastAsia" w:asciiTheme="minorEastAsia" w:hAnsiTheme="minorEastAsia" w:eastAsiaTheme="minorEastAsia"/>
                <w:b/>
                <w:color w:val="000000"/>
                <w:spacing w:val="-10"/>
                <w:szCs w:val="21"/>
              </w:rPr>
              <w:t>□</w:t>
            </w:r>
            <w:r>
              <w:rPr>
                <w:rFonts w:hint="eastAsia" w:asciiTheme="minorEastAsia" w:hAnsiTheme="minorEastAsia" w:eastAsiaTheme="minorEastAsia"/>
                <w:b/>
                <w:color w:val="000000"/>
                <w:szCs w:val="21"/>
              </w:rPr>
              <w:t>所有严重问题全部整改，并符合要求</w:t>
            </w:r>
            <w:r>
              <w:rPr>
                <w:rFonts w:hint="eastAsia" w:asciiTheme="minorEastAsia" w:hAnsiTheme="minorEastAsia" w:eastAsiaTheme="minorEastAsia"/>
                <w:b/>
                <w:color w:val="000000"/>
                <w:spacing w:val="-10"/>
                <w:szCs w:val="21"/>
              </w:rPr>
              <w:t>□未</w:t>
            </w:r>
            <w:r>
              <w:rPr>
                <w:rFonts w:hint="eastAsia" w:asciiTheme="minorEastAsia" w:hAnsiTheme="minorEastAsia" w:eastAsiaTheme="minorEastAsia"/>
                <w:b/>
                <w:color w:val="000000"/>
                <w:szCs w:val="21"/>
              </w:rPr>
              <w:t>按期完成整改</w:t>
            </w:r>
            <w:r>
              <w:rPr>
                <w:rFonts w:hint="eastAsia" w:asciiTheme="minorEastAsia" w:hAnsiTheme="minorEastAsia" w:eastAsiaTheme="minorEastAsia"/>
                <w:b/>
                <w:color w:val="000000"/>
                <w:spacing w:val="-10"/>
                <w:szCs w:val="21"/>
              </w:rPr>
              <w:t>□整改后不符合要求，需重新整改</w:t>
            </w:r>
            <w:r>
              <w:rPr>
                <w:rFonts w:asciiTheme="minorEastAsia" w:hAnsiTheme="minorEastAsia" w:eastAsiaTheme="minorEastAsia"/>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spacing w:line="360" w:lineRule="exact"/>
              <w:rPr>
                <w:rFonts w:hint="eastAsia" w:cs="Times New Roman" w:asciiTheme="minorEastAsia" w:hAnsiTheme="minorEastAsia" w:eastAsiaTheme="minorEastAsia"/>
                <w:b/>
                <w:color w:val="000000"/>
                <w:szCs w:val="21"/>
              </w:rPr>
            </w:pPr>
            <w:r>
              <w:rPr>
                <w:rFonts w:hint="eastAsia" w:cs="Times New Roman" w:asciiTheme="minorEastAsia" w:hAnsiTheme="minorEastAsia" w:eastAsiaTheme="minorEastAsia"/>
                <w:b/>
                <w:color w:val="000000"/>
                <w:szCs w:val="21"/>
              </w:rPr>
              <w:t>推荐意见：■可进行二阶段审核□需再次安排一阶段审核□不进入二阶段审核</w:t>
            </w:r>
            <w:r>
              <w:rPr>
                <w:rFonts w:hint="eastAsia" w:cs="Times New Roman" w:asciiTheme="minorEastAsia" w:hAnsiTheme="minorEastAsia" w:eastAsiaTheme="minorEastAsia"/>
                <w:b/>
                <w:color w:val="000000"/>
                <w:szCs w:val="21"/>
              </w:rPr>
              <w:tab/>
            </w:r>
          </w:p>
          <w:p>
            <w:pPr>
              <w:spacing w:line="360" w:lineRule="exact"/>
              <w:rPr>
                <w:rFonts w:hint="eastAsia" w:cs="Times New Roman" w:asciiTheme="minorEastAsia" w:hAnsiTheme="minorEastAsia" w:eastAsiaTheme="minorEastAsia"/>
                <w:b/>
                <w:color w:val="000000"/>
                <w:szCs w:val="21"/>
              </w:rPr>
            </w:pPr>
          </w:p>
          <w:p>
            <w:pPr>
              <w:spacing w:line="360" w:lineRule="exact"/>
              <w:rPr>
                <w:rFonts w:hint="eastAsia" w:cs="Times New Roman" w:asciiTheme="minorEastAsia" w:hAnsiTheme="minorEastAsia" w:eastAsiaTheme="minorEastAsia"/>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514985</wp:posOffset>
                  </wp:positionH>
                  <wp:positionV relativeFrom="paragraph">
                    <wp:posOffset>16510</wp:posOffset>
                  </wp:positionV>
                  <wp:extent cx="783590" cy="388620"/>
                  <wp:effectExtent l="0" t="0" r="8890" b="7620"/>
                  <wp:wrapNone/>
                  <wp:docPr id="9"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3" descr="fd760dbe16eb6185a5a45f762861822"/>
                          <pic:cNvPicPr>
                            <a:picLocks noChangeAspect="1"/>
                          </pic:cNvPicPr>
                        </pic:nvPicPr>
                        <pic:blipFill>
                          <a:blip r:embed="rId7"/>
                          <a:stretch>
                            <a:fillRect/>
                          </a:stretch>
                        </pic:blipFill>
                        <pic:spPr>
                          <a:xfrm>
                            <a:off x="0" y="0"/>
                            <a:ext cx="783590" cy="388620"/>
                          </a:xfrm>
                          <a:prstGeom prst="rect">
                            <a:avLst/>
                          </a:prstGeom>
                          <a:noFill/>
                          <a:ln>
                            <a:noFill/>
                          </a:ln>
                        </pic:spPr>
                      </pic:pic>
                    </a:graphicData>
                  </a:graphic>
                </wp:anchor>
              </w:drawing>
            </w:r>
            <w:r>
              <w:rPr>
                <w:rFonts w:hint="eastAsia" w:cs="Times New Roman" w:asciiTheme="minorEastAsia" w:hAnsiTheme="minorEastAsia" w:eastAsiaTheme="minorEastAsia"/>
                <w:b/>
                <w:color w:val="000000"/>
                <w:szCs w:val="21"/>
              </w:rPr>
              <w:t xml:space="preserve">验证人：         </w:t>
            </w:r>
            <w:r>
              <w:rPr>
                <w:rFonts w:hint="eastAsia" w:cs="Times New Roman" w:asciiTheme="minorEastAsia" w:hAnsiTheme="minorEastAsia" w:eastAsiaTheme="minorEastAsia"/>
                <w:b/>
                <w:color w:val="000000"/>
                <w:szCs w:val="21"/>
                <w:lang w:val="en-US" w:eastAsia="zh-CN"/>
              </w:rPr>
              <w:t xml:space="preserve">  </w:t>
            </w:r>
            <w:r>
              <w:rPr>
                <w:rFonts w:hint="eastAsia" w:cs="Times New Roman" w:asciiTheme="minorEastAsia" w:hAnsiTheme="minorEastAsia" w:eastAsiaTheme="minorEastAsia"/>
                <w:b/>
                <w:color w:val="000000"/>
                <w:szCs w:val="21"/>
              </w:rPr>
              <w:t xml:space="preserve"> </w:t>
            </w:r>
            <w:r>
              <w:rPr>
                <w:rFonts w:hint="eastAsia" w:cs="Times New Roman" w:asciiTheme="minorEastAsia" w:hAnsiTheme="minorEastAsia" w:eastAsiaTheme="minorEastAsia"/>
                <w:b/>
                <w:color w:val="000000"/>
                <w:szCs w:val="21"/>
                <w:lang w:val="en-US" w:eastAsia="zh-CN"/>
              </w:rPr>
              <w:t xml:space="preserve">  </w:t>
            </w:r>
            <w:r>
              <w:rPr>
                <w:rFonts w:hint="eastAsia" w:cs="Times New Roman" w:asciiTheme="minorEastAsia" w:hAnsiTheme="minorEastAsia" w:eastAsiaTheme="minorEastAsia"/>
                <w:b/>
                <w:color w:val="000000"/>
                <w:szCs w:val="21"/>
              </w:rPr>
              <w:t>日期：</w:t>
            </w:r>
            <w:r>
              <w:rPr>
                <w:rFonts w:hint="eastAsia" w:asciiTheme="minorEastAsia" w:hAnsiTheme="minorEastAsia" w:eastAsiaTheme="minorEastAsia"/>
                <w:b/>
                <w:color w:val="000000"/>
                <w:szCs w:val="21"/>
              </w:rPr>
              <w:t>2022年</w:t>
            </w:r>
            <w:r>
              <w:rPr>
                <w:rFonts w:hint="eastAsia" w:asciiTheme="minorEastAsia" w:hAnsiTheme="minorEastAsia" w:eastAsiaTheme="minorEastAsia"/>
                <w:b/>
                <w:color w:val="000000"/>
                <w:szCs w:val="21"/>
                <w:lang w:val="en-US" w:eastAsia="zh-CN"/>
              </w:rPr>
              <w:t>6</w:t>
            </w:r>
            <w:r>
              <w:rPr>
                <w:rFonts w:hint="eastAsia" w:asciiTheme="minorEastAsia" w:hAnsiTheme="minorEastAsia" w:eastAsiaTheme="minorEastAsia"/>
                <w:b/>
                <w:color w:val="000000"/>
                <w:szCs w:val="21"/>
              </w:rPr>
              <w:t>月1</w:t>
            </w:r>
            <w:r>
              <w:rPr>
                <w:rFonts w:hint="eastAsia" w:asciiTheme="minorEastAsia" w:hAnsiTheme="minorEastAsia" w:eastAsiaTheme="minorEastAsia"/>
                <w:b/>
                <w:color w:val="000000"/>
                <w:szCs w:val="21"/>
                <w:lang w:val="en-US" w:eastAsia="zh-CN"/>
              </w:rPr>
              <w:t>0</w:t>
            </w:r>
            <w:r>
              <w:rPr>
                <w:rFonts w:hint="eastAsia" w:asciiTheme="minorEastAsia" w:hAnsiTheme="minorEastAsia" w:eastAsiaTheme="minorEastAsia"/>
                <w:b/>
                <w:color w:val="000000"/>
                <w:szCs w:val="21"/>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03B3D82"/>
    <w:rsid w:val="33450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7573</Words>
  <Characters>8296</Characters>
  <Lines>67</Lines>
  <Paragraphs>18</Paragraphs>
  <TotalTime>1</TotalTime>
  <ScaleCrop>false</ScaleCrop>
  <LinksUpToDate>false</LinksUpToDate>
  <CharactersWithSpaces>8363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2022-06-11T06:40:32Z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